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B33DA4" w:rsidRPr="00C07804" w:rsidP="00B33DA4">
      <w:pPr>
        <w:ind w:left="540" w:right="1878"/>
        <w:rPr>
          <w:b/>
          <w:color w:val="AF272F"/>
          <w:sz w:val="44"/>
          <w:szCs w:val="44"/>
          <w:lang w:val="en-AU"/>
        </w:rPr>
      </w:pPr>
      <w:r w:rsidRPr="00C07804">
        <w:rPr>
          <w:b/>
          <w:noProof/>
          <w:color w:val="AF272F"/>
          <w:sz w:val="44"/>
          <w:szCs w:val="44"/>
          <w:lang w:val="en-AU"/>
        </w:rPr>
        <w:t>2023</w:t>
      </w:r>
      <w:r w:rsidRPr="00C07804">
        <w:rPr>
          <w:noProof/>
          <w:lang w:val="en-AU" w:eastAsia="en-AU"/>
        </w:rPr>
        <mc:AlternateContent>
          <mc:Choice Requires="wps">
            <w:drawing>
              <wp:anchor distT="45720" distB="45720" distL="114300" distR="114300" simplePos="0" relativeHeight="251659264" behindDoc="1" locked="1" layoutInCell="1" allowOverlap="1">
                <wp:simplePos x="0" y="0"/>
                <wp:positionH relativeFrom="margin">
                  <wp:posOffset>100965</wp:posOffset>
                </wp:positionH>
                <wp:positionV relativeFrom="bottomMargin">
                  <wp:posOffset>-1260475</wp:posOffset>
                </wp:positionV>
                <wp:extent cx="9774000" cy="1134000"/>
                <wp:effectExtent l="0" t="0" r="0" b="9525"/>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rsidR="00B33DA4" w:rsidP="00B33DA4">
                            <w:pPr>
                              <w:pStyle w:val="ESBodyText"/>
                            </w:pPr>
                            <w:r>
                              <w:rPr>
                                <w:noProof/>
                              </w:rPr>
                              <w:t>Submitted for review by Peter Langham (School Principal) on 14 January, 2023 at 03:41 PM</w:t>
                              <w:br/>
                              <w:t>Endorsed by Michael Devine (Senior Education Improvement Leader) on 07 February, 2023 at 02:15 PM</w:t>
                              <w:br/>
                              <w:t>Endorsed by Emma Boag (School Council President) on 07 February, 2023 at 08:03 PM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29pt;margin-left:7.95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1pt;z-index:-251658240" fillcolor="white" stroked="f" strokeweight="0.75pt">
                <v:stroke joinstyle="miter"/>
                <v:textbox>
                  <w:txbxContent>
                    <w:p w:rsidR="00B33DA4" w:rsidP="00B33DA4">
                      <w:pPr>
                        <w:pStyle w:val="ESBodyText"/>
                      </w:pPr>
                      <w:r>
                        <w:rPr>
                          <w:noProof/>
                        </w:rPr>
                        <w:t>Submitted for review by Peter Langham (School Principal) on 14 January, 2023 at 03:41 PM</w:t>
                        <w:br/>
                        <w:t>Endorsed by Michael Devine (Senior Education Improvement Leader) on 07 February, 2023 at 02:15 PM</w:t>
                        <w:br/>
                        <w:t>Endorsed by Emma Boag (School Council President) on 07 February, 2023 at 08:03 PM</w:t>
                        <w:br/>
                      </w:r>
                    </w:p>
                  </w:txbxContent>
                </v:textbox>
                <w10:wrap anchorx="margin"/>
                <w10:anchorlock/>
              </v:shape>
            </w:pict>
          </mc:Fallback>
        </mc:AlternateContent>
      </w:r>
      <w:r w:rsidRPr="00C07804">
        <w:rPr>
          <w:b/>
          <w:color w:val="AF272F"/>
          <w:sz w:val="44"/>
          <w:szCs w:val="44"/>
          <w:lang w:val="en-AU"/>
        </w:rPr>
        <w:t xml:space="preserve"> Annual Implementation Plan</w:t>
      </w:r>
    </w:p>
    <w:p w:rsidR="00B33DA4" w:rsidRPr="00C07804" w:rsidP="00B33DA4">
      <w:pPr>
        <w:ind w:left="540" w:right="1878"/>
        <w:rPr>
          <w:b/>
          <w:color w:val="AF272F"/>
          <w:sz w:val="28"/>
          <w:szCs w:val="44"/>
          <w:lang w:val="en-AU"/>
        </w:rPr>
      </w:pPr>
      <w:r w:rsidRPr="00C07804">
        <w:rPr>
          <w:b/>
          <w:color w:val="AF272F"/>
          <w:sz w:val="28"/>
          <w:szCs w:val="44"/>
          <w:lang w:val="en-AU"/>
        </w:rPr>
        <w:t xml:space="preserve">for improving student outcomes </w:t>
      </w:r>
    </w:p>
    <w:p w:rsidR="00B33DA4" w:rsidRPr="00C07804" w:rsidP="00B33DA4">
      <w:pPr>
        <w:ind w:left="540" w:right="1878"/>
        <w:rPr>
          <w:color w:val="AF272F"/>
          <w:sz w:val="22"/>
          <w:szCs w:val="36"/>
          <w:lang w:val="en-AU"/>
        </w:rPr>
      </w:pPr>
    </w:p>
    <w:p w:rsidR="00B33DA4" w:rsidRPr="00C07804" w:rsidP="00B33DA4">
      <w:pPr>
        <w:pStyle w:val="ESIntroParagraph"/>
        <w:ind w:left="-567" w:right="978" w:firstLine="1107"/>
        <w:rPr>
          <w:color w:val="595959" w:themeColor="text1" w:themeTint="A6"/>
          <w:lang w:val="en-AU"/>
        </w:rPr>
      </w:pPr>
      <w:r w:rsidRPr="00C07804">
        <w:rPr>
          <w:noProof/>
          <w:color w:val="595959" w:themeColor="text1" w:themeTint="A6"/>
          <w:lang w:val="en-AU"/>
        </w:rPr>
        <w:t>Monterey Secondary College (8809)</w:t>
      </w: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BodyText"/>
        <w:rPr>
          <w:lang w:val="en-AU"/>
        </w:rPr>
      </w:pPr>
    </w:p>
    <w:p w:rsidR="00B33DA4" w:rsidRPr="00C07804" w:rsidP="00B33DA4">
      <w:pPr>
        <w:pStyle w:val="ESBodyText"/>
        <w:jc w:val="center"/>
        <w:rPr>
          <w:lang w:val="en-AU"/>
        </w:rPr>
      </w:pPr>
      <w:r w:rsidRPr="00C07804">
        <w:rPr>
          <w:noProof/>
          <w:sz w:val="44"/>
          <w:szCs w:val="44"/>
          <w:lang w:val="en-AU"/>
        </w:rPr>
        <w:drawing>
          <wp:anchor simplePos="0" relativeHeight="251660288" behindDoc="1" locked="0" layoutInCell="1" allowOverlap="1">
            <wp:simplePos x="0" y="0"/>
            <wp:positionH relativeFrom="page">
              <wp:align>center</wp:align>
            </wp:positionH>
            <wp:positionV relativeFrom="paragraph">
              <wp:posOffset>0</wp:posOffset>
            </wp:positionV>
            <wp:extent cx="3515216" cy="3810532"/>
            <wp:wrapNone/>
            <wp:docPr id="100011" name=""/>
            <wp:cNvGraphicFramePr/>
            <a:graphic xmlns:a="http://schemas.openxmlformats.org/drawingml/2006/main">
              <a:graphicData uri="http://schemas.openxmlformats.org/drawingml/2006/picture">
                <pic:pic xmlns:pic="http://schemas.openxmlformats.org/drawingml/2006/picture">
                  <pic:nvPicPr>
                    <pic:cNvPr id="100011" name=""/>
                    <pic:cNvPicPr/>
                  </pic:nvPicPr>
                  <pic:blipFill>
                    <a:blip xmlns:r="http://schemas.openxmlformats.org/officeDocument/2006/relationships" r:embed="rId9"/>
                    <a:stretch>
                      <a:fillRect/>
                    </a:stretch>
                  </pic:blipFill>
                  <pic:spPr>
                    <a:xfrm>
                      <a:off x="0" y="0"/>
                      <a:ext cx="3515216" cy="3810532"/>
                    </a:xfrm>
                    <a:prstGeom prst="rect">
                      <a:avLst/>
                    </a:prstGeom>
                  </pic:spPr>
                </pic:pic>
              </a:graphicData>
            </a:graphic>
          </wp:anchor>
        </w:drawing>
      </w:r>
    </w:p>
    <w:p w:rsidR="00B33DA4" w:rsidRPr="00C07804" w:rsidP="00B33DA4">
      <w:pPr>
        <w:pStyle w:val="ESBodyText"/>
        <w:rPr>
          <w:lang w:val="en-AU"/>
        </w:rPr>
      </w:pPr>
    </w:p>
    <w:p w:rsidR="00C703C5" w:rsidRPr="00C07804" w:rsidP="00F83BD4">
      <w:pPr>
        <w:ind w:right="2759"/>
        <w:rPr>
          <w:lang w:val="en-AU"/>
        </w:rPr>
        <w:sectPr w:rsidSect="002B1BCB">
          <w:headerReference w:type="even" r:id="rId10"/>
          <w:headerReference w:type="default" r:id="rId11"/>
          <w:footerReference w:type="default" r:id="rId12"/>
          <w:headerReference w:type="first" r:id="rId13"/>
          <w:pgSz w:w="11906" w:h="16838"/>
          <w:pgMar w:top="1004" w:right="737" w:bottom="1304" w:left="561" w:header="624" w:footer="1134" w:gutter="0"/>
          <w:pgNumType w:start="1"/>
          <w:cols w:space="397"/>
          <w:docGrid w:linePitch="360"/>
        </w:sectPr>
      </w:pPr>
    </w:p>
    <w:p w:rsidR="006307C3" w:rsidRPr="009B5728" w:rsidP="005157E3">
      <w:pPr>
        <w:ind w:left="-450" w:right="2759"/>
        <w:rPr>
          <w:b/>
          <w:color w:val="AF272F"/>
          <w:sz w:val="36"/>
          <w:szCs w:val="44"/>
          <w:lang w:val="en-AU"/>
        </w:rPr>
      </w:pPr>
      <w:r w:rsidRPr="009B5728">
        <w:rPr>
          <w:b/>
          <w:color w:val="AF272F"/>
          <w:sz w:val="36"/>
          <w:szCs w:val="44"/>
          <w:lang w:val="en-AU"/>
        </w:rPr>
        <w:t xml:space="preserve">Self-evaluation </w:t>
      </w:r>
      <w:r w:rsidRPr="009B5728" w:rsidR="003A0A90">
        <w:rPr>
          <w:b/>
          <w:color w:val="AF272F"/>
          <w:sz w:val="36"/>
          <w:szCs w:val="44"/>
          <w:lang w:val="en-AU"/>
        </w:rPr>
        <w:t>s</w:t>
      </w:r>
      <w:r w:rsidRPr="009B5728">
        <w:rPr>
          <w:b/>
          <w:color w:val="AF272F"/>
          <w:sz w:val="36"/>
          <w:szCs w:val="44"/>
          <w:lang w:val="en-AU"/>
        </w:rPr>
        <w:t>ummary</w:t>
      </w:r>
      <w:r w:rsidRPr="009B5728">
        <w:rPr>
          <w:b/>
          <w:color w:val="AF272F"/>
          <w:sz w:val="36"/>
          <w:szCs w:val="44"/>
          <w:lang w:val="en-AU"/>
        </w:rPr>
        <w:t xml:space="preserve"> - </w:t>
      </w:r>
      <w:r w:rsidRPr="009B5728">
        <w:rPr>
          <w:b/>
          <w:noProof/>
          <w:color w:val="AF272F"/>
          <w:sz w:val="36"/>
          <w:szCs w:val="44"/>
          <w:lang w:val="en-AU"/>
        </w:rPr>
        <w:t>2023</w:t>
      </w:r>
    </w:p>
    <w:p w:rsidR="00745153" w:rsidRPr="009B5728" w:rsidP="00715EBF">
      <w:pPr>
        <w:pStyle w:val="ESIntroParagraph"/>
        <w:ind w:left="-450" w:right="4330" w:firstLine="450"/>
        <w:rPr>
          <w:color w:val="auto"/>
          <w:sz w:val="18"/>
          <w:szCs w:val="18"/>
          <w:lang w:val="en-AU"/>
        </w:rPr>
      </w:pPr>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DB592D">
        <w:tblPrEx>
          <w:tblW w:w="15120" w:type="dxa"/>
          <w:tblInd w:w="-455" w:type="dxa"/>
          <w:tblCellMar>
            <w:top w:w="115" w:type="dxa"/>
            <w:left w:w="115" w:type="dxa"/>
            <w:bottom w:w="115" w:type="dxa"/>
            <w:right w:w="115" w:type="dxa"/>
          </w:tblCellMar>
          <w:tblLook w:val="04A0"/>
        </w:tblPrEx>
        <w:trPr>
          <w:trHeight w:val="515"/>
        </w:trPr>
        <w:tc>
          <w:tcPr>
            <w:tcW w:w="1697" w:type="dxa"/>
            <w:tcBorders>
              <w:bottom w:val="single" w:sz="4" w:space="0" w:color="auto"/>
            </w:tcBorders>
            <w:shd w:val="clear" w:color="auto" w:fill="D9D9D9" w:themeFill="background1" w:themeFillShade="D9"/>
          </w:tcPr>
          <w:p w:rsidR="007A6022" w:rsidRPr="009B5728" w:rsidP="000F7465">
            <w:pPr>
              <w:pStyle w:val="Heading3"/>
              <w:spacing w:before="0" w:after="0"/>
              <w:ind w:right="-374"/>
              <w:rPr>
                <w:szCs w:val="24"/>
                <w:lang w:val="en-AU"/>
              </w:rPr>
            </w:pPr>
            <w:bookmarkStart w:id="0" w:name="_Hlk147390785"/>
          </w:p>
        </w:tc>
        <w:tc>
          <w:tcPr>
            <w:tcW w:w="6457" w:type="dxa"/>
            <w:shd w:val="clear" w:color="auto" w:fill="D9D9D9" w:themeFill="background1" w:themeFillShade="D9"/>
          </w:tcPr>
          <w:p w:rsidR="007A6022" w:rsidRPr="009B5728" w:rsidP="009F6C5B">
            <w:pPr>
              <w:pStyle w:val="Heading3"/>
              <w:spacing w:before="0" w:after="0"/>
              <w:ind w:right="-374"/>
              <w:rPr>
                <w:szCs w:val="24"/>
                <w:lang w:val="en-AU"/>
              </w:rPr>
            </w:pPr>
            <w:r w:rsidRPr="009B5728">
              <w:rPr>
                <w:szCs w:val="24"/>
                <w:lang w:val="en-AU"/>
              </w:rPr>
              <w:t>FISO</w:t>
            </w:r>
            <w:r w:rsidRPr="009B5728" w:rsidR="009F6C5B">
              <w:rPr>
                <w:szCs w:val="24"/>
                <w:lang w:val="en-AU"/>
              </w:rPr>
              <w:t xml:space="preserve"> 2.0 </w:t>
            </w:r>
            <w:r w:rsidRPr="009B5728" w:rsidR="003A0A90">
              <w:rPr>
                <w:szCs w:val="24"/>
                <w:lang w:val="en-AU"/>
              </w:rPr>
              <w:t>d</w:t>
            </w:r>
            <w:r w:rsidRPr="009B5728" w:rsidR="009F6C5B">
              <w:rPr>
                <w:szCs w:val="24"/>
                <w:lang w:val="en-AU"/>
              </w:rPr>
              <w:t>imensions</w:t>
            </w:r>
          </w:p>
        </w:tc>
        <w:tc>
          <w:tcPr>
            <w:tcW w:w="6966" w:type="dxa"/>
            <w:shd w:val="clear" w:color="auto" w:fill="D9D9D9" w:themeFill="background1" w:themeFillShade="D9"/>
          </w:tcPr>
          <w:p w:rsidR="007A6022" w:rsidRPr="009B5728" w:rsidP="000F7465">
            <w:pPr>
              <w:pStyle w:val="Heading3"/>
              <w:spacing w:before="0" w:after="0"/>
              <w:ind w:right="-374"/>
              <w:rPr>
                <w:szCs w:val="24"/>
                <w:lang w:val="en-AU"/>
              </w:rPr>
            </w:pPr>
            <w:r w:rsidRPr="009B5728">
              <w:rPr>
                <w:szCs w:val="24"/>
                <w:lang w:val="en-AU"/>
              </w:rPr>
              <w:t xml:space="preserve">Self-evaluation </w:t>
            </w:r>
            <w:r w:rsidRPr="009B5728" w:rsidR="003A0A90">
              <w:rPr>
                <w:szCs w:val="24"/>
                <w:lang w:val="en-AU"/>
              </w:rPr>
              <w:t>l</w:t>
            </w:r>
            <w:r w:rsidRPr="009B5728">
              <w:rPr>
                <w:szCs w:val="24"/>
                <w:lang w:val="en-AU"/>
              </w:rPr>
              <w:t>evel</w:t>
            </w:r>
          </w:p>
        </w:tc>
      </w:tr>
      <w:tr w:rsidTr="00705B45">
        <w:tblPrEx>
          <w:tblW w:w="15120" w:type="dxa"/>
          <w:tblInd w:w="-455" w:type="dxa"/>
          <w:tblCellMar>
            <w:top w:w="115" w:type="dxa"/>
            <w:left w:w="115" w:type="dxa"/>
            <w:bottom w:w="115" w:type="dxa"/>
            <w:right w:w="115" w:type="dxa"/>
          </w:tblCellMar>
          <w:tblLook w:val="04A0"/>
        </w:tblPrEx>
        <w:trPr>
          <w:cantSplit/>
          <w:trHeight w:val="101"/>
        </w:trPr>
        <w:tc>
          <w:tcPr>
            <w:tcW w:w="1697" w:type="dxa"/>
            <w:vMerge w:val="restart"/>
            <w:shd w:val="clear" w:color="auto" w:fill="FFD062"/>
          </w:tcPr>
          <w:p w:rsidR="00446D10" w:rsidRPr="009B5728" w:rsidP="00363D8E">
            <w:pPr>
              <w:rPr>
                <w:b/>
                <w:bCs/>
                <w:color w:val="53565A"/>
                <w:sz w:val="24"/>
                <w:szCs w:val="24"/>
                <w:lang w:val="en-AU"/>
              </w:rPr>
            </w:pPr>
            <w:r w:rsidRPr="009B5728">
              <w:rPr>
                <w:b/>
                <w:bCs/>
                <w:color w:val="53565A"/>
                <w:sz w:val="24"/>
                <w:szCs w:val="24"/>
                <w:lang w:val="en-AU"/>
              </w:rPr>
              <w:t>Leadership</w:t>
            </w:r>
          </w:p>
        </w:tc>
        <w:tc>
          <w:tcPr>
            <w:tcW w:w="6457" w:type="dxa"/>
            <w:tcBorders>
              <w:left w:val="single" w:sz="4" w:space="0" w:color="auto"/>
            </w:tcBorders>
          </w:tcPr>
          <w:p>
            <w:r>
              <w:rPr>
                <w:rFonts w:ascii="Arial" w:eastAsia="Arial" w:hAnsi="Arial" w:cs="Arial"/>
                <w:b w:val="0"/>
                <w:color w:val="auto"/>
                <w:sz w:val="20"/>
              </w:rPr>
              <w:t>The strategic direction and deployment of resources to create and reflect shared goals and values; high expectations; and a positive, safe and orderly learning environment</w:t>
            </w:r>
          </w:p>
        </w:tc>
        <w:tc>
          <w:tcPr>
            <w:tcW w:w="6966" w:type="dxa"/>
            <w:vMerge w:val="restart"/>
            <w:vAlign w:val="center"/>
          </w:tcPr>
          <w:p>
            <w:r>
              <w:rPr>
                <w:rFonts w:ascii="Arial" w:eastAsia="Arial" w:hAnsi="Arial" w:cs="Arial"/>
                <w:b w:val="0"/>
                <w:color w:val="auto"/>
                <w:sz w:val="20"/>
              </w:rPr>
              <w:t>Evolving</w:t>
            </w:r>
          </w:p>
        </w:tc>
      </w:tr>
      <w:tr w:rsidTr="007B0A88">
        <w:tblPrEx>
          <w:tblW w:w="15120" w:type="dxa"/>
          <w:tblInd w:w="-455" w:type="dxa"/>
          <w:tblCellMar>
            <w:top w:w="115" w:type="dxa"/>
            <w:left w:w="115" w:type="dxa"/>
            <w:bottom w:w="115" w:type="dxa"/>
            <w:right w:w="115" w:type="dxa"/>
          </w:tblCellMar>
          <w:tblLook w:val="04A0"/>
        </w:tblPrEx>
        <w:trPr>
          <w:cantSplit/>
          <w:trHeight w:val="200"/>
        </w:trPr>
        <w:tc>
          <w:tcPr>
            <w:tcW w:w="1697" w:type="dxa"/>
            <w:vMerge/>
            <w:shd w:val="clear" w:color="auto" w:fill="FFD062"/>
          </w:tcPr>
          <w:p w:rsidR="00446D10" w:rsidRPr="009B5728"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r>
              <w:rPr>
                <w:rFonts w:ascii="Arial" w:eastAsia="Arial" w:hAnsi="Arial" w:cs="Arial"/>
                <w:b w:val="0"/>
                <w:color w:val="auto"/>
                <w:sz w:val="20"/>
              </w:rPr>
              <w:t>Shared development of a culture of respect and collaboration with positive and supportive relationships between students and staff at the core</w:t>
            </w:r>
          </w:p>
        </w:tc>
        <w:tc>
          <w:tcPr>
            <w:tcW w:w="6966" w:type="dxa"/>
            <w:vMerge/>
          </w:tcPr>
          <w:p w:rsidR="00446D10" w:rsidRPr="009B5728" w:rsidP="00581393">
            <w:pPr>
              <w:pStyle w:val="ESBodyText"/>
              <w:rPr>
                <w:sz w:val="20"/>
                <w:lang w:val="en-AU"/>
              </w:rPr>
            </w:pPr>
          </w:p>
        </w:tc>
      </w:tr>
    </w:tbl>
    <w:p w:rsidR="006307C3" w:rsidRPr="009B5728" w:rsidP="004E7357">
      <w:pPr>
        <w:pStyle w:val="ESBodyText"/>
        <w:rPr>
          <w:lang w:val="en-AU"/>
        </w:rPr>
      </w:pPr>
      <w:bookmarkEnd w:id="0"/>
    </w:p>
    <w:tbl>
      <w:tblPr>
        <w:tblStyle w:val="TableGrid"/>
        <w:tblW w:w="15120" w:type="dxa"/>
        <w:tblInd w:w="-455" w:type="dxa"/>
        <w:tblCellMar>
          <w:top w:w="115" w:type="dxa"/>
          <w:left w:w="115" w:type="dxa"/>
          <w:bottom w:w="115" w:type="dxa"/>
          <w:right w:w="115" w:type="dxa"/>
        </w:tblCellMar>
        <w:tblLook w:val="04A0"/>
      </w:tblPr>
      <w:tblGrid>
        <w:gridCol w:w="1701"/>
        <w:gridCol w:w="6489"/>
        <w:gridCol w:w="6930"/>
      </w:tblGrid>
      <w:tr w:rsidTr="00705B45">
        <w:tblPrEx>
          <w:tblW w:w="15120" w:type="dxa"/>
          <w:tblInd w:w="-455" w:type="dxa"/>
          <w:tblCellMar>
            <w:top w:w="115" w:type="dxa"/>
            <w:left w:w="115" w:type="dxa"/>
            <w:bottom w:w="115" w:type="dxa"/>
            <w:right w:w="115" w:type="dxa"/>
          </w:tblCellMar>
          <w:tblLook w:val="04A0"/>
        </w:tblPrEx>
        <w:trPr>
          <w:cantSplit/>
          <w:trHeight w:val="56"/>
        </w:trPr>
        <w:tc>
          <w:tcPr>
            <w:tcW w:w="1701" w:type="dxa"/>
            <w:vMerge w:val="restart"/>
            <w:shd w:val="clear" w:color="auto" w:fill="58BFBD"/>
          </w:tcPr>
          <w:p w:rsidR="00446D10" w:rsidRPr="009B5728" w:rsidP="00363D8E">
            <w:pPr>
              <w:rPr>
                <w:b/>
                <w:bCs/>
                <w:color w:val="53565A"/>
                <w:lang w:val="en-AU"/>
              </w:rPr>
            </w:pPr>
            <w:r w:rsidRPr="009B5728">
              <w:rPr>
                <w:b/>
                <w:bCs/>
                <w:color w:val="53565A"/>
                <w:sz w:val="24"/>
                <w:szCs w:val="24"/>
                <w:lang w:val="en-AU"/>
              </w:rPr>
              <w:t>Teaching and learning</w:t>
            </w:r>
          </w:p>
        </w:tc>
        <w:tc>
          <w:tcPr>
            <w:tcW w:w="6489" w:type="dxa"/>
          </w:tcPr>
          <w:p>
            <w:r>
              <w:rPr>
                <w:rFonts w:ascii="Arial" w:eastAsia="Arial" w:hAnsi="Arial" w:cs="Arial"/>
                <w:b w:val="0"/>
                <w:color w:val="auto"/>
                <w:sz w:val="20"/>
              </w:rPr>
              <w:t>Documented teaching and learning program based on the Victorian Curriculum and senior secondary pathways, incorporating extra-curricula programs</w:t>
            </w:r>
          </w:p>
        </w:tc>
        <w:tc>
          <w:tcPr>
            <w:tcW w:w="6930" w:type="dxa"/>
            <w:vMerge w:val="restart"/>
            <w:vAlign w:val="center"/>
          </w:tcPr>
          <w:p>
            <w:r>
              <w:rPr>
                <w:rFonts w:ascii="Arial" w:eastAsia="Arial" w:hAnsi="Arial" w:cs="Arial"/>
                <w:b w:val="0"/>
                <w:color w:val="auto"/>
                <w:sz w:val="20"/>
              </w:rPr>
              <w:t>Evolving</w:t>
            </w:r>
          </w:p>
        </w:tc>
      </w:tr>
      <w:tr w:rsidTr="007F0FF7">
        <w:tblPrEx>
          <w:tblW w:w="15120" w:type="dxa"/>
          <w:tblInd w:w="-455" w:type="dxa"/>
          <w:tblCellMar>
            <w:top w:w="115" w:type="dxa"/>
            <w:left w:w="115" w:type="dxa"/>
            <w:bottom w:w="115" w:type="dxa"/>
            <w:right w:w="115" w:type="dxa"/>
          </w:tblCellMar>
          <w:tblLook w:val="04A0"/>
        </w:tblPrEx>
        <w:trPr>
          <w:cantSplit/>
          <w:trHeight w:val="20"/>
        </w:trPr>
        <w:tc>
          <w:tcPr>
            <w:tcW w:w="1701" w:type="dxa"/>
            <w:vMerge/>
            <w:shd w:val="clear" w:color="auto" w:fill="58BFBD"/>
          </w:tcPr>
          <w:p w:rsidR="00446D10" w:rsidRPr="009B5728" w:rsidP="00EE49B9">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89" w:type="dxa"/>
          </w:tcPr>
          <w:p>
            <w:r>
              <w:rPr>
                <w:rFonts w:ascii="Arial" w:eastAsia="Arial" w:hAnsi="Arial" w:cs="Arial"/>
                <w:b w:val="0"/>
                <w:color w:val="auto"/>
                <w:sz w:val="20"/>
              </w:rPr>
              <w:t>Use of common and subject-specific high impact teaching and learning strategies as part of a shared and responsive teaching and learning model implemented through positive and supportive student-staff relationships</w:t>
            </w:r>
          </w:p>
        </w:tc>
        <w:tc>
          <w:tcPr>
            <w:tcW w:w="6930" w:type="dxa"/>
            <w:vMerge/>
          </w:tcPr>
          <w:p w:rsidR="00446D10" w:rsidRPr="009B5728" w:rsidP="00EE49B9">
            <w:pPr>
              <w:pStyle w:val="ESBodyText"/>
              <w:rPr>
                <w:sz w:val="20"/>
                <w:lang w:val="en-AU"/>
              </w:rPr>
            </w:pPr>
          </w:p>
        </w:tc>
      </w:tr>
    </w:tbl>
    <w:p w:rsidR="006E1708" w:rsidRPr="009B5728" w:rsidP="004E7357">
      <w:pPr>
        <w:pStyle w:val="ESBodyText"/>
        <w:rPr>
          <w:lang w:val="en-AU"/>
        </w:rPr>
      </w:pPr>
    </w:p>
    <w:p w:rsidR="006E1708" w:rsidRPr="009B5728">
      <w:pPr>
        <w:spacing w:after="0" w:line="240" w:lineRule="auto"/>
        <w:rPr>
          <w:lang w:val="en-AU"/>
        </w:rPr>
      </w:pPr>
      <w:r w:rsidRPr="009B5728">
        <w:rPr>
          <w:lang w:val="en-AU"/>
        </w:rPr>
        <w:br w:type="page"/>
      </w:r>
    </w:p>
    <w:tbl>
      <w:tblPr>
        <w:tblStyle w:val="TableGrid"/>
        <w:tblW w:w="15120" w:type="dxa"/>
        <w:tblInd w:w="-455" w:type="dxa"/>
        <w:tblCellMar>
          <w:top w:w="115" w:type="dxa"/>
          <w:left w:w="115" w:type="dxa"/>
          <w:bottom w:w="115" w:type="dxa"/>
          <w:right w:w="115" w:type="dxa"/>
        </w:tblCellMar>
        <w:tblLook w:val="04A0"/>
      </w:tblPr>
      <w:tblGrid>
        <w:gridCol w:w="1700"/>
        <w:gridCol w:w="6490"/>
        <w:gridCol w:w="6930"/>
      </w:tblGrid>
      <w:tr w:rsidTr="00705B45">
        <w:tblPrEx>
          <w:tblW w:w="15120" w:type="dxa"/>
          <w:tblInd w:w="-455" w:type="dxa"/>
          <w:tblCellMar>
            <w:top w:w="115" w:type="dxa"/>
            <w:left w:w="115" w:type="dxa"/>
            <w:bottom w:w="115" w:type="dxa"/>
            <w:right w:w="115" w:type="dxa"/>
          </w:tblCellMar>
          <w:tblLook w:val="04A0"/>
        </w:tblPrEx>
        <w:trPr>
          <w:cantSplit/>
          <w:trHeight w:val="56"/>
        </w:trPr>
        <w:tc>
          <w:tcPr>
            <w:tcW w:w="1700" w:type="dxa"/>
            <w:vMerge w:val="restart"/>
            <w:shd w:val="clear" w:color="auto" w:fill="57B5E7"/>
          </w:tcPr>
          <w:p w:rsidR="00446D10" w:rsidRPr="009B5728" w:rsidP="00363D8E">
            <w:pPr>
              <w:rPr>
                <w:b/>
                <w:bCs/>
                <w:color w:val="53565A"/>
                <w:lang w:val="en-AU"/>
              </w:rPr>
            </w:pPr>
            <w:r w:rsidRPr="009B5728">
              <w:rPr>
                <w:b/>
                <w:bCs/>
                <w:color w:val="53565A"/>
                <w:sz w:val="24"/>
                <w:szCs w:val="24"/>
                <w:lang w:val="en-AU"/>
              </w:rPr>
              <w:t>Assessment</w:t>
            </w:r>
          </w:p>
        </w:tc>
        <w:tc>
          <w:tcPr>
            <w:tcW w:w="6490" w:type="dxa"/>
          </w:tcPr>
          <w:p>
            <w:r>
              <w:rPr>
                <w:rFonts w:ascii="Arial" w:eastAsia="Arial" w:hAnsi="Arial" w:cs="Arial"/>
                <w:b w:val="0"/>
                <w:color w:val="auto"/>
                <w:sz w:val="20"/>
              </w:rPr>
              <w:t>Systematic use of data and evidence to drive the prioritisation, development, and implementation of actions in schools and classrooms.</w:t>
            </w:r>
          </w:p>
        </w:tc>
        <w:tc>
          <w:tcPr>
            <w:tcW w:w="6930" w:type="dxa"/>
            <w:vMerge w:val="restart"/>
            <w:vAlign w:val="center"/>
          </w:tcPr>
          <w:p>
            <w:r>
              <w:rPr>
                <w:rFonts w:ascii="Arial" w:eastAsia="Arial" w:hAnsi="Arial" w:cs="Arial"/>
                <w:b w:val="0"/>
                <w:color w:val="auto"/>
                <w:sz w:val="20"/>
              </w:rPr>
              <w:t>Evolving</w:t>
            </w:r>
          </w:p>
        </w:tc>
      </w:tr>
      <w:tr w:rsidTr="00252D77">
        <w:tblPrEx>
          <w:tblW w:w="15120" w:type="dxa"/>
          <w:tblInd w:w="-455" w:type="dxa"/>
          <w:tblCellMar>
            <w:top w:w="115" w:type="dxa"/>
            <w:left w:w="115" w:type="dxa"/>
            <w:bottom w:w="115" w:type="dxa"/>
            <w:right w:w="115" w:type="dxa"/>
          </w:tblCellMar>
          <w:tblLook w:val="04A0"/>
        </w:tblPrEx>
        <w:trPr>
          <w:cantSplit/>
          <w:trHeight w:val="20"/>
        </w:trPr>
        <w:tc>
          <w:tcPr>
            <w:tcW w:w="1700" w:type="dxa"/>
            <w:vMerge/>
            <w:shd w:val="clear" w:color="auto" w:fill="57B5E7"/>
          </w:tcPr>
          <w:p w:rsidR="00446D10" w:rsidRPr="009B5728" w:rsidP="00121AF8">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90" w:type="dxa"/>
          </w:tcPr>
          <w:p>
            <w:r>
              <w:rPr>
                <w:rFonts w:ascii="Arial" w:eastAsia="Arial" w:hAnsi="Arial" w:cs="Arial"/>
                <w:b w:val="0"/>
                <w:color w:val="auto"/>
                <w:sz w:val="20"/>
              </w:rPr>
              <w:t>Systematic use of assessment strategies and measurement practices to obtain and provide feedback on student learning growth, attainment and wellbeing capabilities</w:t>
            </w:r>
          </w:p>
        </w:tc>
        <w:tc>
          <w:tcPr>
            <w:tcW w:w="6930" w:type="dxa"/>
            <w:vMerge/>
          </w:tcPr>
          <w:p w:rsidR="00446D10" w:rsidRPr="009B5728" w:rsidP="00121AF8">
            <w:pPr>
              <w:pStyle w:val="ESBodyText"/>
              <w:rPr>
                <w:sz w:val="20"/>
                <w:lang w:val="en-AU"/>
              </w:rPr>
            </w:pPr>
          </w:p>
        </w:tc>
      </w:tr>
    </w:tbl>
    <w:p w:rsidR="006E1708" w:rsidRPr="009B5728" w:rsidP="006E1708">
      <w:pPr>
        <w:pStyle w:val="ESBodyText"/>
        <w:rPr>
          <w:lang w:val="en-AU"/>
        </w:rPr>
      </w:pPr>
    </w:p>
    <w:tbl>
      <w:tblPr>
        <w:tblStyle w:val="TableGrid"/>
        <w:tblW w:w="15120" w:type="dxa"/>
        <w:tblInd w:w="-455" w:type="dxa"/>
        <w:tblCellMar>
          <w:top w:w="115" w:type="dxa"/>
          <w:left w:w="115" w:type="dxa"/>
          <w:bottom w:w="115" w:type="dxa"/>
          <w:right w:w="115" w:type="dxa"/>
        </w:tblCellMar>
        <w:tblLook w:val="04A0"/>
      </w:tblPr>
      <w:tblGrid>
        <w:gridCol w:w="1671"/>
        <w:gridCol w:w="6503"/>
        <w:gridCol w:w="6946"/>
      </w:tblGrid>
      <w:tr w:rsidTr="00705B45">
        <w:tblPrEx>
          <w:tblW w:w="15120" w:type="dxa"/>
          <w:tblInd w:w="-455" w:type="dxa"/>
          <w:tblCellMar>
            <w:top w:w="115" w:type="dxa"/>
            <w:left w:w="115" w:type="dxa"/>
            <w:bottom w:w="115" w:type="dxa"/>
            <w:right w:w="115" w:type="dxa"/>
          </w:tblCellMar>
          <w:tblLook w:val="04A0"/>
        </w:tblPrEx>
        <w:trPr>
          <w:cantSplit/>
          <w:trHeight w:val="56"/>
        </w:trPr>
        <w:tc>
          <w:tcPr>
            <w:tcW w:w="1671" w:type="dxa"/>
            <w:vMerge w:val="restart"/>
            <w:shd w:val="clear" w:color="auto" w:fill="F8CDDB"/>
          </w:tcPr>
          <w:p w:rsidR="00446D10" w:rsidRPr="009B5728" w:rsidP="00363D8E">
            <w:pPr>
              <w:rPr>
                <w:b/>
                <w:bCs/>
                <w:color w:val="53565A"/>
                <w:lang w:val="en-AU"/>
              </w:rPr>
            </w:pPr>
            <w:r w:rsidRPr="009B5728">
              <w:rPr>
                <w:b/>
                <w:bCs/>
                <w:color w:val="53565A"/>
                <w:sz w:val="24"/>
                <w:szCs w:val="24"/>
                <w:lang w:val="en-AU"/>
              </w:rPr>
              <w:t>Engagement</w:t>
            </w:r>
          </w:p>
        </w:tc>
        <w:tc>
          <w:tcPr>
            <w:tcW w:w="6503" w:type="dxa"/>
          </w:tcPr>
          <w:p>
            <w:r>
              <w:rPr>
                <w:rFonts w:ascii="Arial" w:eastAsia="Arial" w:hAnsi="Arial" w:cs="Arial"/>
                <w:b w:val="0"/>
                <w:color w:val="auto"/>
                <w:sz w:val="20"/>
              </w:rPr>
              <w:t>Strong relationships and active partnerships between schools and families/carers, communities, and organisations to strengthen students’ participation and  engagement in school</w:t>
            </w:r>
          </w:p>
        </w:tc>
        <w:tc>
          <w:tcPr>
            <w:tcW w:w="6946" w:type="dxa"/>
            <w:vMerge w:val="restart"/>
            <w:vAlign w:val="center"/>
          </w:tcPr>
          <w:p>
            <w:r>
              <w:rPr>
                <w:rFonts w:ascii="Arial" w:eastAsia="Arial" w:hAnsi="Arial" w:cs="Arial"/>
                <w:b w:val="0"/>
                <w:color w:val="auto"/>
                <w:sz w:val="20"/>
              </w:rPr>
              <w:t>Evolving</w:t>
            </w:r>
          </w:p>
        </w:tc>
      </w:tr>
      <w:tr w:rsidTr="00FF4586">
        <w:tblPrEx>
          <w:tblW w:w="15120" w:type="dxa"/>
          <w:tblInd w:w="-455" w:type="dxa"/>
          <w:tblCellMar>
            <w:top w:w="115" w:type="dxa"/>
            <w:left w:w="115" w:type="dxa"/>
            <w:bottom w:w="115" w:type="dxa"/>
            <w:right w:w="115" w:type="dxa"/>
          </w:tblCellMar>
          <w:tblLook w:val="04A0"/>
        </w:tblPrEx>
        <w:trPr>
          <w:cantSplit/>
          <w:trHeight w:val="20"/>
        </w:trPr>
        <w:tc>
          <w:tcPr>
            <w:tcW w:w="1671" w:type="dxa"/>
            <w:vMerge/>
            <w:shd w:val="clear" w:color="auto" w:fill="F8CDDB"/>
          </w:tcPr>
          <w:p w:rsidR="00446D10" w:rsidRPr="009B5728" w:rsidP="00121AF8">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503" w:type="dxa"/>
          </w:tcPr>
          <w:p>
            <w:r>
              <w:rPr>
                <w:rFonts w:ascii="Arial" w:eastAsia="Arial" w:hAnsi="Arial" w:cs="Arial"/>
                <w:b w:val="0"/>
                <w:color w:val="auto"/>
                <w:sz w:val="20"/>
              </w:rPr>
              <w:t>Activation of student voice and agency, including in leadership and learning, to strengthen students’ participation and engagement in school</w:t>
            </w:r>
          </w:p>
        </w:tc>
        <w:tc>
          <w:tcPr>
            <w:tcW w:w="6946" w:type="dxa"/>
            <w:vMerge/>
          </w:tcPr>
          <w:p w:rsidR="00446D10" w:rsidRPr="009B5728" w:rsidP="00121AF8">
            <w:pPr>
              <w:pStyle w:val="ESBodyText"/>
              <w:rPr>
                <w:sz w:val="20"/>
                <w:lang w:val="en-AU"/>
              </w:rPr>
            </w:pPr>
          </w:p>
        </w:tc>
      </w:tr>
    </w:tbl>
    <w:p w:rsidR="006E1708" w:rsidRPr="009B5728" w:rsidP="006E1708">
      <w:pPr>
        <w:pStyle w:val="ESBodyText"/>
        <w:rPr>
          <w:lang w:val="en-AU"/>
        </w:rPr>
      </w:pPr>
    </w:p>
    <w:tbl>
      <w:tblPr>
        <w:tblStyle w:val="TableGrid"/>
        <w:tblW w:w="15120" w:type="dxa"/>
        <w:tblInd w:w="-455" w:type="dxa"/>
        <w:tblCellMar>
          <w:top w:w="115" w:type="dxa"/>
          <w:left w:w="115" w:type="dxa"/>
          <w:bottom w:w="115" w:type="dxa"/>
          <w:right w:w="115" w:type="dxa"/>
        </w:tblCellMar>
        <w:tblLook w:val="04A0"/>
      </w:tblPr>
      <w:tblGrid>
        <w:gridCol w:w="1694"/>
        <w:gridCol w:w="6492"/>
        <w:gridCol w:w="6934"/>
      </w:tblGrid>
      <w:tr w:rsidTr="00705B45">
        <w:tblPrEx>
          <w:tblW w:w="15120" w:type="dxa"/>
          <w:tblInd w:w="-455" w:type="dxa"/>
          <w:tblCellMar>
            <w:top w:w="115" w:type="dxa"/>
            <w:left w:w="115" w:type="dxa"/>
            <w:bottom w:w="115" w:type="dxa"/>
            <w:right w:w="115" w:type="dxa"/>
          </w:tblCellMar>
          <w:tblLook w:val="04A0"/>
        </w:tblPrEx>
        <w:trPr>
          <w:cantSplit/>
          <w:trHeight w:val="56"/>
        </w:trPr>
        <w:tc>
          <w:tcPr>
            <w:tcW w:w="1694" w:type="dxa"/>
            <w:vMerge w:val="restart"/>
            <w:shd w:val="clear" w:color="auto" w:fill="D2ACD0"/>
          </w:tcPr>
          <w:p w:rsidR="00446D10" w:rsidRPr="009B5728" w:rsidP="00363D8E">
            <w:pPr>
              <w:rPr>
                <w:b/>
                <w:bCs/>
                <w:color w:val="53565A"/>
                <w:lang w:val="en-AU"/>
              </w:rPr>
            </w:pPr>
            <w:r w:rsidRPr="009B5728">
              <w:rPr>
                <w:b/>
                <w:bCs/>
                <w:color w:val="53565A"/>
                <w:sz w:val="24"/>
                <w:szCs w:val="24"/>
                <w:lang w:val="en-AU"/>
              </w:rPr>
              <w:t>Support and resources</w:t>
            </w:r>
          </w:p>
        </w:tc>
        <w:tc>
          <w:tcPr>
            <w:tcW w:w="6492" w:type="dxa"/>
          </w:tcPr>
          <w:p>
            <w:r>
              <w:rPr>
                <w:rFonts w:ascii="Arial" w:eastAsia="Arial" w:hAnsi="Arial" w:cs="Arial"/>
                <w:b w:val="0"/>
                <w:color w:val="auto"/>
                <w:sz w:val="20"/>
              </w:rPr>
              <w:t>Responsive, tiered and contextualised approaches and strong relationships to support student learning, wellbeing and inclusion</w:t>
            </w:r>
          </w:p>
        </w:tc>
        <w:tc>
          <w:tcPr>
            <w:tcW w:w="6934" w:type="dxa"/>
            <w:vMerge w:val="restart"/>
            <w:vAlign w:val="center"/>
          </w:tcPr>
          <w:p>
            <w:r>
              <w:rPr>
                <w:rFonts w:ascii="Arial" w:eastAsia="Arial" w:hAnsi="Arial" w:cs="Arial"/>
                <w:b w:val="0"/>
                <w:color w:val="auto"/>
                <w:sz w:val="20"/>
              </w:rPr>
              <w:t>Evolving</w:t>
            </w:r>
          </w:p>
        </w:tc>
      </w:tr>
      <w:tr w:rsidTr="00CD0D76">
        <w:tblPrEx>
          <w:tblW w:w="15120" w:type="dxa"/>
          <w:tblInd w:w="-455" w:type="dxa"/>
          <w:tblCellMar>
            <w:top w:w="115" w:type="dxa"/>
            <w:left w:w="115" w:type="dxa"/>
            <w:bottom w:w="115" w:type="dxa"/>
            <w:right w:w="115" w:type="dxa"/>
          </w:tblCellMar>
          <w:tblLook w:val="04A0"/>
        </w:tblPrEx>
        <w:trPr>
          <w:cantSplit/>
          <w:trHeight w:val="20"/>
        </w:trPr>
        <w:tc>
          <w:tcPr>
            <w:tcW w:w="1694" w:type="dxa"/>
            <w:vMerge/>
            <w:shd w:val="clear" w:color="auto" w:fill="D2ACD0"/>
          </w:tcPr>
          <w:p w:rsidR="00446D10" w:rsidRPr="009B5728" w:rsidP="00121AF8">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92" w:type="dxa"/>
          </w:tcPr>
          <w:p>
            <w:r>
              <w:rPr>
                <w:rFonts w:ascii="Arial" w:eastAsia="Arial" w:hAnsi="Arial" w:cs="Arial"/>
                <w:b w:val="0"/>
                <w:color w:val="auto"/>
                <w:sz w:val="20"/>
              </w:rPr>
              <w:t>Effective use of resources and active partnerships with families/carers, specialist providers and community organisations to provide responsive support to students</w:t>
            </w:r>
          </w:p>
        </w:tc>
        <w:tc>
          <w:tcPr>
            <w:tcW w:w="6934" w:type="dxa"/>
            <w:vMerge/>
          </w:tcPr>
          <w:p w:rsidR="00446D10" w:rsidRPr="009B5728" w:rsidP="00121AF8">
            <w:pPr>
              <w:pStyle w:val="ESBodyText"/>
              <w:rPr>
                <w:sz w:val="20"/>
                <w:lang w:val="en-AU"/>
              </w:rPr>
            </w:pPr>
          </w:p>
        </w:tc>
      </w:tr>
    </w:tbl>
    <w:p w:rsidR="006E1708" w:rsidRPr="009B5728" w:rsidP="006E1708">
      <w:pPr>
        <w:pStyle w:val="ESBodyText"/>
        <w:rPr>
          <w:lang w:val="en-AU"/>
        </w:rPr>
      </w:pPr>
    </w:p>
    <w:tbl>
      <w:tblPr>
        <w:tblStyle w:val="TableGrid"/>
        <w:tblW w:w="15120" w:type="dxa"/>
        <w:tblInd w:w="-455" w:type="dxa"/>
        <w:tblCellMar>
          <w:top w:w="115" w:type="dxa"/>
          <w:left w:w="115" w:type="dxa"/>
          <w:bottom w:w="115" w:type="dxa"/>
          <w:right w:w="115" w:type="dxa"/>
        </w:tblCellMar>
        <w:tblLook w:val="04A0"/>
      </w:tblPr>
      <w:tblGrid>
        <w:gridCol w:w="3905"/>
        <w:gridCol w:w="11215"/>
      </w:tblGrid>
      <w:tr w:rsidTr="00A84052">
        <w:tblPrEx>
          <w:tblW w:w="15120" w:type="dxa"/>
          <w:tblInd w:w="-455" w:type="dxa"/>
          <w:tblCellMar>
            <w:top w:w="115" w:type="dxa"/>
            <w:left w:w="115" w:type="dxa"/>
            <w:bottom w:w="115" w:type="dxa"/>
            <w:right w:w="115" w:type="dxa"/>
          </w:tblCellMar>
          <w:tblLook w:val="04A0"/>
        </w:tblPrEx>
        <w:trPr>
          <w:trHeight w:val="15"/>
        </w:trPr>
        <w:tc>
          <w:tcPr>
            <w:tcW w:w="3905" w:type="dxa"/>
            <w:shd w:val="clear" w:color="auto" w:fill="D9D9D9" w:themeFill="background1" w:themeFillShade="D9"/>
          </w:tcPr>
          <w:p w:rsidR="00C703C5" w:rsidRPr="009B5728" w:rsidP="00EE49B9">
            <w:pPr>
              <w:pStyle w:val="ESBodyText"/>
              <w:rPr>
                <w:b/>
                <w:sz w:val="20"/>
                <w:lang w:val="en-AU"/>
              </w:rPr>
            </w:pPr>
            <w:r w:rsidRPr="009B5728">
              <w:rPr>
                <w:b/>
                <w:sz w:val="20"/>
                <w:lang w:val="en-AU"/>
              </w:rPr>
              <w:t>Enter your reflective comments</w:t>
            </w:r>
          </w:p>
        </w:tc>
        <w:tc>
          <w:tcPr>
            <w:tcW w:w="11215" w:type="dxa"/>
          </w:tcPr>
          <w:p w:rsidR="00C703C5" w:rsidRPr="009B5728" w:rsidP="00EE49B9">
            <w:pPr>
              <w:pStyle w:val="ESBodyText"/>
              <w:rPr>
                <w:sz w:val="20"/>
                <w:lang w:val="en-AU"/>
              </w:rPr>
            </w:pPr>
            <w:r>
              <w:rPr>
                <w:sz w:val="20"/>
              </w:rPr>
              <w:t xml:space="preserve">2023 was a year for consolidation after rapid transformation. </w:t>
              <w:br/>
              <w:br/>
              <w:t>We had our positive and insightful School Review experience in term 1. Quickly followed by ongoing staff absence increases, as well as some unexpected staffing changes. The absence issue became more difficult to manage through Term 2 and Term 3 when there were no CRTs available.</w:t>
              <w:br/>
              <w:br/>
              <w:t>Overall, the school has become stable and cohesive despite the ongoing challenges.</w:t>
            </w:r>
          </w:p>
        </w:tc>
      </w:tr>
      <w:tr w:rsidTr="00A84052">
        <w:tblPrEx>
          <w:tblW w:w="15120" w:type="dxa"/>
          <w:tblInd w:w="-455" w:type="dxa"/>
          <w:tblCellMar>
            <w:top w:w="115" w:type="dxa"/>
            <w:left w:w="115" w:type="dxa"/>
            <w:bottom w:w="115" w:type="dxa"/>
            <w:right w:w="115" w:type="dxa"/>
          </w:tblCellMar>
          <w:tblLook w:val="04A0"/>
        </w:tblPrEx>
        <w:trPr>
          <w:trHeight w:val="128"/>
        </w:trPr>
        <w:tc>
          <w:tcPr>
            <w:tcW w:w="3905" w:type="dxa"/>
            <w:shd w:val="clear" w:color="auto" w:fill="D9D9D9" w:themeFill="background1" w:themeFillShade="D9"/>
          </w:tcPr>
          <w:p w:rsidR="00C703C5" w:rsidRPr="009B5728" w:rsidP="00E75B07">
            <w:pPr>
              <w:pStyle w:val="ESBodyText"/>
              <w:rPr>
                <w:b/>
                <w:sz w:val="20"/>
                <w:lang w:val="en-AU"/>
              </w:rPr>
            </w:pPr>
            <w:r w:rsidRPr="009B5728">
              <w:rPr>
                <w:b/>
                <w:sz w:val="20"/>
                <w:lang w:val="en-AU"/>
              </w:rPr>
              <w:t>Considerations for</w:t>
            </w:r>
            <w:r w:rsidRPr="009B5728">
              <w:rPr>
                <w:b/>
                <w:color w:val="000000" w:themeColor="text1"/>
                <w:sz w:val="20"/>
                <w:szCs w:val="24"/>
                <w:lang w:val="en-AU"/>
              </w:rPr>
              <w:t xml:space="preserve"> </w:t>
            </w:r>
            <w:r w:rsidRPr="009B5728" w:rsidR="00175B96">
              <w:rPr>
                <w:b/>
                <w:noProof/>
                <w:sz w:val="20"/>
                <w:szCs w:val="20"/>
                <w:lang w:val="en-AU"/>
              </w:rPr>
              <w:t>2023</w:t>
            </w:r>
          </w:p>
        </w:tc>
        <w:tc>
          <w:tcPr>
            <w:tcW w:w="11215" w:type="dxa"/>
          </w:tcPr>
          <w:p w:rsidR="00C703C5" w:rsidRPr="009B5728" w:rsidP="00EE49B9">
            <w:pPr>
              <w:pStyle w:val="ESBodyText"/>
              <w:rPr>
                <w:sz w:val="20"/>
                <w:lang w:val="en-AU"/>
              </w:rPr>
            </w:pPr>
            <w:r>
              <w:rPr>
                <w:sz w:val="20"/>
              </w:rPr>
              <w:t xml:space="preserve">We inducted just 5 new staff for 2023, despite enrolment growth. A great outcome, highlighting the stability that we're seeing despite the complex workforce shortages being experienced globally. </w:t>
            </w:r>
          </w:p>
        </w:tc>
      </w:tr>
      <w:tr w:rsidTr="00A84052">
        <w:tblPrEx>
          <w:tblW w:w="15120" w:type="dxa"/>
          <w:tblInd w:w="-455" w:type="dxa"/>
          <w:tblCellMar>
            <w:top w:w="115" w:type="dxa"/>
            <w:left w:w="115" w:type="dxa"/>
            <w:bottom w:w="115" w:type="dxa"/>
            <w:right w:w="115" w:type="dxa"/>
          </w:tblCellMar>
          <w:tblLook w:val="04A0"/>
        </w:tblPrEx>
        <w:trPr>
          <w:trHeight w:val="128"/>
        </w:trPr>
        <w:tc>
          <w:tcPr>
            <w:tcW w:w="3905" w:type="dxa"/>
            <w:shd w:val="clear" w:color="auto" w:fill="D9D9D9" w:themeFill="background1" w:themeFillShade="D9"/>
          </w:tcPr>
          <w:p w:rsidR="00687FB5" w:rsidRPr="009B5728" w:rsidP="00687FB5">
            <w:pPr>
              <w:pStyle w:val="ESBodyText"/>
              <w:rPr>
                <w:b/>
                <w:sz w:val="20"/>
                <w:lang w:val="en-AU"/>
              </w:rPr>
            </w:pPr>
            <w:r w:rsidRPr="009B5728">
              <w:rPr>
                <w:b/>
                <w:sz w:val="20"/>
                <w:lang w:val="en-AU"/>
              </w:rPr>
              <w:t>Documents that support this plan</w:t>
            </w:r>
          </w:p>
        </w:tc>
        <w:tc>
          <w:tcPr>
            <w:tcW w:w="11215" w:type="dxa"/>
          </w:tcPr>
          <w:p w:rsidR="00687FB5" w:rsidRPr="009B5728" w:rsidP="00EE49B9">
            <w:pPr>
              <w:pStyle w:val="ESBodyText"/>
              <w:rPr>
                <w:sz w:val="20"/>
                <w:lang w:val="en-AU"/>
              </w:rPr>
            </w:pPr>
          </w:p>
        </w:tc>
      </w:tr>
    </w:tbl>
    <w:p w:rsidR="00C703C5" w:rsidRPr="009B5728" w:rsidP="004E7357">
      <w:pPr>
        <w:pStyle w:val="ESBodyText"/>
        <w:rPr>
          <w:lang w:val="en-AU"/>
        </w:rPr>
        <w:sectPr w:rsidSect="00B2115D">
          <w:headerReference w:type="even" r:id="rId14"/>
          <w:headerReference w:type="default" r:id="rId15"/>
          <w:footerReference w:type="default" r:id="rId16"/>
          <w:headerReference w:type="first" r:id="rId17"/>
          <w:pgSz w:w="16838" w:h="11906" w:orient="landscape" w:code="9"/>
          <w:pgMar w:top="1304" w:right="2036" w:bottom="1240" w:left="1304" w:header="624" w:footer="532" w:gutter="0"/>
          <w:pgNumType w:start="2"/>
          <w:cols w:space="397"/>
          <w:docGrid w:linePitch="360"/>
        </w:sectPr>
      </w:pPr>
    </w:p>
    <w:p w:rsidR="00145C6B" w:rsidRPr="00041607" w:rsidP="00CC45E0">
      <w:pPr>
        <w:pStyle w:val="ESIntroParagraph"/>
        <w:ind w:left="-567" w:right="1168" w:firstLine="27"/>
        <w:rPr>
          <w:b/>
          <w:color w:val="AF272F"/>
          <w:sz w:val="32"/>
          <w:szCs w:val="32"/>
          <w:lang w:val="en-AU"/>
        </w:rPr>
      </w:pPr>
      <w:r w:rsidRPr="00041607">
        <w:rPr>
          <w:b/>
          <w:color w:val="AF272F"/>
          <w:sz w:val="32"/>
          <w:szCs w:val="32"/>
          <w:lang w:val="en-AU"/>
        </w:rPr>
        <w:t xml:space="preserve">Select </w:t>
      </w:r>
      <w:r w:rsidRPr="00041607" w:rsidR="00FB15E2">
        <w:rPr>
          <w:b/>
          <w:color w:val="AF272F"/>
          <w:sz w:val="32"/>
          <w:szCs w:val="32"/>
          <w:lang w:val="en-AU"/>
        </w:rPr>
        <w:t>a</w:t>
      </w:r>
      <w:r w:rsidRPr="00041607">
        <w:rPr>
          <w:b/>
          <w:color w:val="AF272F"/>
          <w:sz w:val="32"/>
          <w:szCs w:val="32"/>
          <w:lang w:val="en-AU"/>
        </w:rPr>
        <w:t xml:space="preserve">nnual </w:t>
      </w:r>
      <w:r w:rsidRPr="00041607" w:rsidR="00FB15E2">
        <w:rPr>
          <w:b/>
          <w:color w:val="AF272F"/>
          <w:sz w:val="32"/>
          <w:szCs w:val="32"/>
          <w:lang w:val="en-AU"/>
        </w:rPr>
        <w:t>g</w:t>
      </w:r>
      <w:r w:rsidRPr="00041607">
        <w:rPr>
          <w:b/>
          <w:color w:val="AF272F"/>
          <w:sz w:val="32"/>
          <w:szCs w:val="32"/>
          <w:lang w:val="en-AU"/>
        </w:rPr>
        <w:t xml:space="preserve">oals and </w:t>
      </w:r>
      <w:r w:rsidRPr="00041607">
        <w:rPr>
          <w:b/>
          <w:color w:val="AF272F"/>
          <w:sz w:val="32"/>
          <w:szCs w:val="32"/>
          <w:lang w:val="en-AU"/>
        </w:rPr>
        <w:t>KIS</w:t>
      </w:r>
    </w:p>
    <w:p w:rsidR="00312C54" w:rsidRPr="00041607"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tblPr>
      <w:tblGrid>
        <w:gridCol w:w="3589"/>
        <w:gridCol w:w="1457"/>
        <w:gridCol w:w="6219"/>
        <w:gridCol w:w="3945"/>
      </w:tblGrid>
      <w:tr w:rsidTr="000100BE">
        <w:tblPrEx>
          <w:tblW w:w="15210" w:type="dxa"/>
          <w:tblInd w:w="-545" w:type="dxa"/>
          <w:tblCellMar>
            <w:top w:w="115" w:type="dxa"/>
            <w:left w:w="115" w:type="dxa"/>
            <w:bottom w:w="115" w:type="dxa"/>
            <w:right w:w="115" w:type="dxa"/>
          </w:tblCellMar>
          <w:tblLook w:val="04A0"/>
        </w:tblPrEx>
        <w:trPr>
          <w:trHeight w:val="783"/>
        </w:trPr>
        <w:tc>
          <w:tcPr>
            <w:tcW w:w="3589" w:type="dxa"/>
            <w:shd w:val="clear" w:color="auto" w:fill="D9D9D9" w:themeFill="background1" w:themeFillShade="D9"/>
          </w:tcPr>
          <w:p w:rsidR="00B06A30" w:rsidRPr="00041607" w:rsidP="00DA66C8">
            <w:pPr>
              <w:pStyle w:val="Heading3"/>
              <w:spacing w:before="100" w:beforeAutospacing="1" w:after="0"/>
              <w:rPr>
                <w:lang w:val="en-AU"/>
              </w:rPr>
            </w:pPr>
            <w:r w:rsidRPr="00041607">
              <w:rPr>
                <w:lang w:val="en-AU"/>
              </w:rPr>
              <w:t>Four</w:t>
            </w:r>
            <w:r w:rsidRPr="00041607" w:rsidR="00FB15E2">
              <w:rPr>
                <w:lang w:val="en-AU"/>
              </w:rPr>
              <w:t>-y</w:t>
            </w:r>
            <w:r w:rsidRPr="00041607">
              <w:rPr>
                <w:lang w:val="en-AU"/>
              </w:rPr>
              <w:t xml:space="preserve">ear </w:t>
            </w:r>
            <w:r w:rsidRPr="00041607" w:rsidR="00FB15E2">
              <w:rPr>
                <w:lang w:val="en-AU"/>
              </w:rPr>
              <w:t>s</w:t>
            </w:r>
            <w:r w:rsidRPr="00041607">
              <w:rPr>
                <w:lang w:val="en-AU"/>
              </w:rPr>
              <w:t xml:space="preserve">trategic </w:t>
            </w:r>
            <w:r w:rsidRPr="00041607" w:rsidR="00FB15E2">
              <w:rPr>
                <w:lang w:val="en-AU"/>
              </w:rPr>
              <w:t>g</w:t>
            </w:r>
            <w:r w:rsidRPr="00041607">
              <w:rPr>
                <w:lang w:val="en-AU"/>
              </w:rPr>
              <w:t>oals</w:t>
            </w:r>
          </w:p>
        </w:tc>
        <w:tc>
          <w:tcPr>
            <w:tcW w:w="1457" w:type="dxa"/>
            <w:shd w:val="clear" w:color="auto" w:fill="D9D9D9" w:themeFill="background1" w:themeFillShade="D9"/>
          </w:tcPr>
          <w:p w:rsidR="00B06A30" w:rsidRPr="00041607" w:rsidP="00B06A30">
            <w:pPr>
              <w:pStyle w:val="Heading3"/>
              <w:spacing w:before="100" w:beforeAutospacing="1" w:after="0"/>
              <w:rPr>
                <w:lang w:val="en-AU"/>
              </w:rPr>
            </w:pPr>
            <w:r w:rsidRPr="00041607">
              <w:rPr>
                <w:lang w:val="en-AU"/>
              </w:rPr>
              <w:t>Is this selected for focus this year?</w:t>
            </w:r>
          </w:p>
          <w:p w:rsidR="00B06A30" w:rsidRPr="00041607" w:rsidP="00DA66C8">
            <w:pPr>
              <w:pStyle w:val="Heading3"/>
              <w:spacing w:before="100" w:beforeAutospacing="1" w:after="0"/>
              <w:rPr>
                <w:lang w:val="en-AU"/>
              </w:rPr>
            </w:pPr>
          </w:p>
        </w:tc>
        <w:tc>
          <w:tcPr>
            <w:tcW w:w="6219" w:type="dxa"/>
            <w:shd w:val="clear" w:color="auto" w:fill="D9D9D9" w:themeFill="background1" w:themeFillShade="D9"/>
          </w:tcPr>
          <w:p w:rsidR="00B06A30" w:rsidRPr="00041607" w:rsidP="00DA66C8">
            <w:pPr>
              <w:spacing w:before="100" w:beforeAutospacing="1" w:after="0"/>
              <w:rPr>
                <w:color w:val="000000" w:themeColor="text1"/>
                <w:sz w:val="20"/>
                <w:lang w:val="en-AU"/>
              </w:rPr>
            </w:pPr>
            <w:r w:rsidRPr="00041607">
              <w:rPr>
                <w:b/>
                <w:lang w:val="en-AU"/>
              </w:rPr>
              <w:t>Four</w:t>
            </w:r>
            <w:r w:rsidRPr="00041607" w:rsidR="00FB15E2">
              <w:rPr>
                <w:b/>
                <w:lang w:val="en-AU"/>
              </w:rPr>
              <w:t>-y</w:t>
            </w:r>
            <w:r w:rsidRPr="00041607">
              <w:rPr>
                <w:b/>
                <w:lang w:val="en-AU"/>
              </w:rPr>
              <w:t xml:space="preserve">ear </w:t>
            </w:r>
            <w:r w:rsidRPr="00041607" w:rsidR="00FB15E2">
              <w:rPr>
                <w:b/>
                <w:lang w:val="en-AU"/>
              </w:rPr>
              <w:t>s</w:t>
            </w:r>
            <w:r w:rsidRPr="00041607">
              <w:rPr>
                <w:b/>
                <w:lang w:val="en-AU"/>
              </w:rPr>
              <w:t xml:space="preserve">trategic </w:t>
            </w:r>
            <w:r w:rsidRPr="00041607" w:rsidR="00FB15E2">
              <w:rPr>
                <w:b/>
                <w:lang w:val="en-AU"/>
              </w:rPr>
              <w:t>t</w:t>
            </w:r>
            <w:r w:rsidRPr="00041607">
              <w:rPr>
                <w:b/>
                <w:lang w:val="en-AU"/>
              </w:rPr>
              <w:t>argets</w:t>
            </w:r>
          </w:p>
        </w:tc>
        <w:tc>
          <w:tcPr>
            <w:tcW w:w="3945" w:type="dxa"/>
            <w:shd w:val="clear" w:color="auto" w:fill="D9D9D9" w:themeFill="background1" w:themeFillShade="D9"/>
          </w:tcPr>
          <w:p w:rsidR="00B06A30" w:rsidRPr="00041607" w:rsidP="00DA66C8">
            <w:pPr>
              <w:pStyle w:val="Heading3"/>
              <w:spacing w:before="100" w:beforeAutospacing="1" w:after="0"/>
              <w:rPr>
                <w:lang w:val="en-AU"/>
              </w:rPr>
            </w:pPr>
            <w:r w:rsidRPr="00041607">
              <w:rPr>
                <w:lang w:val="en-AU"/>
              </w:rPr>
              <w:t>12</w:t>
            </w:r>
            <w:r w:rsidRPr="00041607" w:rsidR="00FB15E2">
              <w:rPr>
                <w:lang w:val="en-AU"/>
              </w:rPr>
              <w:t>-</w:t>
            </w:r>
            <w:r w:rsidRPr="00041607">
              <w:rPr>
                <w:lang w:val="en-AU"/>
              </w:rPr>
              <w:t>month target</w:t>
            </w:r>
          </w:p>
          <w:p w:rsidR="00B06A30" w:rsidRPr="00041607" w:rsidP="00DA66C8">
            <w:pPr>
              <w:pStyle w:val="Heading3"/>
              <w:spacing w:before="100" w:beforeAutospacing="1" w:after="0"/>
              <w:rPr>
                <w:lang w:val="en-AU"/>
              </w:rPr>
            </w:pPr>
            <w:r w:rsidRPr="00041607">
              <w:rPr>
                <w:b w:val="0"/>
                <w:sz w:val="18"/>
                <w:shd w:val="clear" w:color="auto" w:fill="D9D9D9" w:themeFill="background1" w:themeFillShade="D9"/>
                <w:lang w:val="en-AU"/>
              </w:rPr>
              <w:t>The 12</w:t>
            </w:r>
            <w:r w:rsidRPr="00041607" w:rsidR="00FB15E2">
              <w:rPr>
                <w:b w:val="0"/>
                <w:sz w:val="18"/>
                <w:shd w:val="clear" w:color="auto" w:fill="D9D9D9" w:themeFill="background1" w:themeFillShade="D9"/>
                <w:lang w:val="en-AU"/>
              </w:rPr>
              <w:t>-</w:t>
            </w:r>
            <w:r w:rsidRPr="00041607">
              <w:rPr>
                <w:b w:val="0"/>
                <w:sz w:val="18"/>
                <w:shd w:val="clear" w:color="auto" w:fill="D9D9D9" w:themeFill="background1" w:themeFillShade="D9"/>
                <w:lang w:val="en-AU"/>
              </w:rPr>
              <w:t>month target is an incremental step towards meeting the 4-year target, using the same data set.</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tcPr>
          <w:p w:rsidR="00B06A30" w:rsidRPr="00041607" w:rsidP="00BB23C7">
            <w:pPr>
              <w:pStyle w:val="ESBodyText"/>
              <w:spacing w:after="0"/>
              <w:rPr>
                <w:color w:val="auto"/>
                <w:lang w:val="en-AU"/>
              </w:rPr>
            </w:pPr>
            <w:r w:rsidRPr="00041607">
              <w:rPr>
                <w:rStyle w:val="DefaultParagraphFont"/>
                <w:b/>
                <w:bCs/>
                <w:color w:val="auto"/>
              </w:rPr>
              <w:t>2023 Priorities Goal</w:t>
            </w:r>
            <w:r w:rsidRPr="00041607">
              <w:rPr>
                <w:rStyle w:val="DefaultParagraphFont"/>
                <w:b/>
                <w:bCs/>
                <w:color w:val="auto"/>
              </w:rPr>
              <w:br/>
            </w:r>
            <w:r w:rsidRPr="00041607">
              <w:rPr>
                <w:rStyle w:val="DefaultParagraphFont"/>
                <w:color w:val="auto"/>
              </w:rPr>
              <w:t>In 2023 we will continue to focus on student learning - with an increased focus on numeracy - and student wellbeing through the 2023 Priorities Goal, a learning Key Improvement Strategy and a wellbeing Key Improvement Strategy.</w:t>
            </w:r>
          </w:p>
        </w:tc>
        <w:tc>
          <w:tcPr>
            <w:tcW w:w="1457" w:type="dxa"/>
          </w:tcPr>
          <w:p w:rsidR="00B06A30" w:rsidRPr="00041607" w:rsidP="00BB23C7">
            <w:pPr>
              <w:pStyle w:val="ESBodyText"/>
              <w:spacing w:after="0"/>
              <w:rPr>
                <w:color w:val="auto"/>
                <w:lang w:val="en-AU"/>
              </w:rPr>
            </w:pPr>
            <w:r w:rsidRPr="00041607">
              <w:rPr>
                <w:rStyle w:val="DefaultParagraphFont"/>
                <w:color w:val="auto"/>
              </w:rPr>
              <w:t>Yes</w:t>
            </w:r>
          </w:p>
        </w:tc>
        <w:tc>
          <w:tcPr>
            <w:tcW w:w="6219" w:type="dxa"/>
          </w:tcPr>
          <w:p w:rsidR="00B06A30" w:rsidRPr="00041607" w:rsidP="00BB23C7">
            <w:pPr>
              <w:pStyle w:val="ESBodyText"/>
              <w:spacing w:after="0"/>
              <w:rPr>
                <w:color w:val="auto"/>
                <w:lang w:val="en-AU"/>
              </w:rPr>
            </w:pPr>
            <w:r w:rsidRPr="00041607">
              <w:rPr>
                <w:rStyle w:val="DefaultParagraphFont"/>
                <w:color w:val="auto"/>
              </w:rPr>
              <w:t>Support for the 2023 Priorities</w:t>
            </w:r>
          </w:p>
        </w:tc>
        <w:tc>
          <w:tcPr>
            <w:tcW w:w="3945" w:type="dxa"/>
          </w:tcPr>
          <w:p w:rsidR="00B06A30" w:rsidRPr="00041607" w:rsidP="00BB23C7">
            <w:pPr>
              <w:pStyle w:val="ESBodyText"/>
              <w:spacing w:after="0"/>
              <w:rPr>
                <w:color w:val="auto"/>
                <w:lang w:val="en-AU"/>
              </w:rPr>
            </w:pPr>
            <w:r w:rsidRPr="00041607">
              <w:rPr>
                <w:rStyle w:val="DefaultParagraphFont"/>
                <w:color w:val="auto"/>
              </w:rPr>
              <w:t>LEARNING1a: Support both students who need scaffolding and those who have thrived to continue to extend their learning, especially in numeracy-Increase % Top 2 bands NAPLAN Year 9 in Reading (&gt;5%), Writing (&gt;5%), Numeracy (&gt;5%)-Increase % Med to High Learning Growth Year 9 Reading (&gt;22% High Growth), Writing (&gt;15% Growth), Numeracy (&gt;22% High Growth)-66% of students at Year 7, Year 8, Year 9 and Year 10 demonstrate at least 12 months growth in Teacher Judgement for Number and Algebra-AtoSS – Stimulated Learning &gt; 60% Positive Endorsement -SSS – Guaranteed and Viable Curriculum &gt; 60% Positive Endorsement-VCE Value Add &gt; 0-VCE Median Study Score &gt; 26-VET Competencies Completion &gt; 80%-VCE VM Completion Rate &gt; 90%WELLBEING1b: Effectively mobilise available resources to support students wellbeing and mental health, especially the most vulnerable.- &lt;45% of students absent for &gt;20 days and &lt;30% of students absent for &gt;30 days- Meet or exceed similar schools AtoSS - Student voice and agency and sense of connectedness measures to be above similar schools in each ATOSS</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tcPr>
          <w:p w:rsidR="00B06A30" w:rsidRPr="00041607" w:rsidP="00BB23C7">
            <w:pPr>
              <w:pStyle w:val="ESBodyText"/>
              <w:spacing w:after="0"/>
              <w:rPr>
                <w:color w:val="auto"/>
                <w:lang w:val="en-AU"/>
              </w:rPr>
            </w:pPr>
            <w:r w:rsidRPr="00041607">
              <w:rPr>
                <w:rStyle w:val="DefaultParagraphFont"/>
                <w:color w:val="auto"/>
              </w:rPr>
              <w:t xml:space="preserve">Improve learning achievement and growth for all students in literacy and numeracy. </w:t>
            </w:r>
          </w:p>
        </w:tc>
        <w:tc>
          <w:tcPr>
            <w:tcW w:w="1457" w:type="dxa"/>
            <w:vMerge w:val="restart"/>
          </w:tcPr>
          <w:p w:rsidR="00B06A30" w:rsidRPr="00041607" w:rsidP="00BB23C7">
            <w:pPr>
              <w:pStyle w:val="ESBodyText"/>
              <w:spacing w:after="0"/>
              <w:rPr>
                <w:color w:val="auto"/>
                <w:lang w:val="en-AU"/>
              </w:rPr>
            </w:pPr>
            <w:r w:rsidRPr="00041607">
              <w:rPr>
                <w:rStyle w:val="DefaultParagraphFont"/>
                <w:color w:val="auto"/>
              </w:rPr>
              <w:t>No</w:t>
            </w: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color w:val="000000"/>
              </w:rPr>
              <w:t>NAPLAN benchmark growth years 7-9</w:t>
            </w:r>
          </w:p>
          <w:p w:rsidR="00B06A30" w:rsidRPr="00041607" w:rsidP="00BB23C7">
            <w:pPr>
              <w:pStyle w:val="ESBodyText"/>
              <w:numPr>
                <w:ilvl w:val="0"/>
                <w:numId w:val="18"/>
              </w:numPr>
              <w:spacing w:after="0"/>
              <w:ind w:left="720" w:hanging="183"/>
              <w:rPr>
                <w:rStyle w:val="DefaultParagraphFont"/>
                <w:color w:val="auto"/>
                <w:sz w:val="18"/>
                <w:szCs w:val="18"/>
              </w:rPr>
            </w:pPr>
            <w:r w:rsidRPr="00041607">
              <w:rPr>
                <w:rStyle w:val="DefaultParagraphFont"/>
                <w:color w:val="000000"/>
              </w:rPr>
              <w:t xml:space="preserve">By 2025, increase the percentage of students meeting or above benchmark growth in reading from 68% (Av. 2018- 2021) to 75% or more (including above benchmark growth from 21% (Av. 2018 - 2021) to 25% or more each year) </w:t>
            </w:r>
          </w:p>
          <w:p w:rsidR="00B06A30" w:rsidRPr="00041607" w:rsidP="00BB23C7">
            <w:pPr>
              <w:pStyle w:val="ESBodyText"/>
              <w:numPr>
                <w:ilvl w:val="0"/>
                <w:numId w:val="18"/>
              </w:numPr>
              <w:spacing w:after="0"/>
              <w:ind w:left="720" w:hanging="183"/>
              <w:rPr>
                <w:rStyle w:val="DefaultParagraphFont"/>
                <w:color w:val="auto"/>
                <w:sz w:val="18"/>
                <w:szCs w:val="18"/>
              </w:rPr>
            </w:pPr>
            <w:r w:rsidRPr="00041607">
              <w:rPr>
                <w:rStyle w:val="DefaultParagraphFont"/>
                <w:color w:val="000000"/>
              </w:rPr>
              <w:t>By 2025, increase the percentage of students meeting or above benchmark growth in writing from 64% (Av. 2018-2021) to 75% or more (including above benchmark growth from 15% (Av. 2018-2021) to 25% or more each year)</w:t>
            </w:r>
          </w:p>
          <w:p w:rsidR="00B06A30" w:rsidRPr="00041607" w:rsidP="00BB23C7">
            <w:pPr>
              <w:pStyle w:val="ESBodyText"/>
              <w:numPr>
                <w:ilvl w:val="0"/>
                <w:numId w:val="18"/>
              </w:numPr>
              <w:spacing w:after="0"/>
              <w:ind w:left="720" w:hanging="183"/>
              <w:rPr>
                <w:rStyle w:val="DefaultParagraphFont"/>
                <w:color w:val="auto"/>
                <w:sz w:val="18"/>
                <w:szCs w:val="18"/>
              </w:rPr>
            </w:pPr>
            <w:r w:rsidRPr="00041607">
              <w:rPr>
                <w:rStyle w:val="DefaultParagraphFont"/>
                <w:color w:val="000000"/>
              </w:rPr>
              <w:t>By 2025, increase the percentage of students meeting or above benchmark growth in numeracy from 78% (2021) to 80% or more (including above benchmark growth from 23% (2021) to 25% or more each year)</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color w:val="000000"/>
              </w:rPr>
              <w:t xml:space="preserve">NAPLAN – Middle 2 bands and top 2 bands (combined) - Year 9 </w:t>
            </w:r>
          </w:p>
          <w:p w:rsidR="00B06A30" w:rsidRPr="00041607" w:rsidP="00BB23C7">
            <w:pPr>
              <w:pStyle w:val="ESBodyText"/>
              <w:spacing w:after="0"/>
              <w:rPr>
                <w:rStyle w:val="DefaultParagraphFont"/>
                <w:color w:val="auto"/>
                <w:sz w:val="18"/>
                <w:szCs w:val="18"/>
              </w:rPr>
            </w:pPr>
            <w:r w:rsidRPr="00041607">
              <w:rPr>
                <w:rStyle w:val="DefaultParagraphFont"/>
                <w:color w:val="000000"/>
              </w:rPr>
              <w:t>1.2.1 By 2025, increase the percentage of students achieving in the middle two and top two NAPLAN bands (combined) in reading from 57% (Av. 2018-2021) to 65% or above (including from 4% to 10% in the top two bands)</w:t>
            </w:r>
          </w:p>
          <w:p w:rsidR="00B06A30" w:rsidRPr="00041607" w:rsidP="00BB23C7">
            <w:pPr>
              <w:pStyle w:val="ESBodyText"/>
              <w:spacing w:after="0"/>
              <w:rPr>
                <w:rStyle w:val="DefaultParagraphFont"/>
                <w:color w:val="auto"/>
                <w:sz w:val="18"/>
                <w:szCs w:val="18"/>
              </w:rPr>
            </w:pPr>
            <w:r w:rsidRPr="00041607">
              <w:rPr>
                <w:rStyle w:val="DefaultParagraphFont"/>
                <w:color w:val="000000"/>
              </w:rPr>
              <w:t>1.2.2 By 2025, increase the percentage of students achieving in the middle two and top two NAPLAN bands (combined) in writing from 39% (Av. 2018-2021) to 65% or above (including from 2% to 10% in the top two bands)</w:t>
            </w:r>
          </w:p>
          <w:p w:rsidR="00B06A30" w:rsidRPr="00041607" w:rsidP="00BB23C7">
            <w:pPr>
              <w:pStyle w:val="ESBodyText"/>
              <w:spacing w:after="0"/>
              <w:rPr>
                <w:rStyle w:val="DefaultParagraphFont"/>
                <w:color w:val="auto"/>
                <w:sz w:val="18"/>
                <w:szCs w:val="18"/>
              </w:rPr>
            </w:pPr>
            <w:r w:rsidRPr="00041607">
              <w:rPr>
                <w:rStyle w:val="DefaultParagraphFont"/>
                <w:color w:val="000000"/>
              </w:rPr>
              <w:t>1.2.3 By 2025, increase the percentage of students achieving in the middle two and top two NAPLAN bands (combined) in numeracy from 69% (Av. 2018- 2021) to 75% or above (including from 5% to 10% in the top two bands)</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color w:val="000000"/>
              </w:rPr>
              <w:t>Teacher judgement growth</w:t>
            </w:r>
          </w:p>
          <w:p w:rsidR="00B06A30" w:rsidRPr="00041607" w:rsidP="00BB23C7">
            <w:pPr>
              <w:pStyle w:val="ESBodyText"/>
              <w:spacing w:after="0"/>
              <w:rPr>
                <w:rStyle w:val="DefaultParagraphFont"/>
                <w:color w:val="auto"/>
                <w:sz w:val="18"/>
                <w:szCs w:val="18"/>
              </w:rPr>
            </w:pPr>
            <w:r w:rsidRPr="00041607">
              <w:rPr>
                <w:rStyle w:val="DefaultParagraphFont"/>
                <w:color w:val="000000"/>
              </w:rPr>
              <w:t>By 2025, increase the percentage of students in each Year level (7-10) above expected growth in reading from Av. 2018-2021 data each year to the following:</w:t>
            </w:r>
          </w:p>
          <w:p w:rsidR="00B06A30" w:rsidRPr="00041607" w:rsidP="00BB23C7">
            <w:pPr>
              <w:pStyle w:val="ESBodyText"/>
              <w:numPr>
                <w:ilvl w:val="0"/>
                <w:numId w:val="19"/>
              </w:numPr>
              <w:spacing w:after="0"/>
              <w:ind w:left="720" w:hanging="183"/>
              <w:rPr>
                <w:rStyle w:val="DefaultParagraphFont"/>
                <w:color w:val="auto"/>
                <w:sz w:val="18"/>
                <w:szCs w:val="18"/>
              </w:rPr>
            </w:pPr>
            <w:r w:rsidRPr="00041607">
              <w:rPr>
                <w:rStyle w:val="DefaultParagraphFont"/>
                <w:color w:val="000000"/>
              </w:rPr>
              <w:t>Year 7: From 25% to 55%</w:t>
            </w:r>
          </w:p>
          <w:p w:rsidR="00B06A30" w:rsidRPr="00041607" w:rsidP="00BB23C7">
            <w:pPr>
              <w:pStyle w:val="ESBodyText"/>
              <w:numPr>
                <w:ilvl w:val="0"/>
                <w:numId w:val="19"/>
              </w:numPr>
              <w:spacing w:after="0"/>
              <w:ind w:left="720" w:hanging="183"/>
              <w:rPr>
                <w:rStyle w:val="DefaultParagraphFont"/>
                <w:color w:val="auto"/>
                <w:sz w:val="18"/>
                <w:szCs w:val="18"/>
              </w:rPr>
            </w:pPr>
            <w:r w:rsidRPr="00041607">
              <w:rPr>
                <w:rStyle w:val="DefaultParagraphFont"/>
                <w:color w:val="000000"/>
              </w:rPr>
              <w:t>Year 8: From 38% to 55%</w:t>
            </w:r>
          </w:p>
          <w:p w:rsidR="00B06A30" w:rsidRPr="00041607" w:rsidP="00BB23C7">
            <w:pPr>
              <w:pStyle w:val="ESBodyText"/>
              <w:numPr>
                <w:ilvl w:val="0"/>
                <w:numId w:val="19"/>
              </w:numPr>
              <w:spacing w:after="0"/>
              <w:ind w:left="720" w:hanging="183"/>
              <w:rPr>
                <w:rStyle w:val="DefaultParagraphFont"/>
                <w:color w:val="auto"/>
                <w:sz w:val="18"/>
                <w:szCs w:val="18"/>
              </w:rPr>
            </w:pPr>
            <w:r w:rsidRPr="00041607">
              <w:rPr>
                <w:rStyle w:val="DefaultParagraphFont"/>
                <w:color w:val="000000"/>
              </w:rPr>
              <w:t>Year 9: From 21% to 55%</w:t>
            </w:r>
          </w:p>
          <w:p w:rsidR="00B06A30" w:rsidRPr="00041607" w:rsidP="00BB23C7">
            <w:pPr>
              <w:pStyle w:val="ESBodyText"/>
              <w:numPr>
                <w:ilvl w:val="0"/>
                <w:numId w:val="19"/>
              </w:numPr>
              <w:spacing w:after="0"/>
              <w:ind w:left="720" w:hanging="183"/>
              <w:rPr>
                <w:rStyle w:val="DefaultParagraphFont"/>
                <w:color w:val="auto"/>
                <w:sz w:val="18"/>
                <w:szCs w:val="18"/>
              </w:rPr>
            </w:pPr>
            <w:r w:rsidRPr="00041607">
              <w:rPr>
                <w:rStyle w:val="DefaultParagraphFont"/>
                <w:color w:val="000000"/>
              </w:rPr>
              <w:t>Year 10: From 33% to 55%</w:t>
            </w:r>
          </w:p>
          <w:p w:rsidR="00B06A30" w:rsidRPr="00041607" w:rsidP="00BB23C7">
            <w:pPr>
              <w:pStyle w:val="ESBodyText"/>
              <w:spacing w:after="0"/>
              <w:rPr>
                <w:rStyle w:val="DefaultParagraphFont"/>
                <w:color w:val="auto"/>
                <w:sz w:val="18"/>
                <w:szCs w:val="18"/>
              </w:rPr>
            </w:pPr>
            <w:r w:rsidRPr="00041607">
              <w:rPr>
                <w:rStyle w:val="DefaultParagraphFont"/>
                <w:color w:val="000000"/>
              </w:rPr>
              <w:t>By 2025, increase the percentage of students in each Year level (7-10) above expected growth in writing from Av. 2018-2021 data each year to the following:</w:t>
            </w:r>
          </w:p>
          <w:p w:rsidR="00B06A30" w:rsidRPr="00041607" w:rsidP="00BB23C7">
            <w:pPr>
              <w:pStyle w:val="ESBodyText"/>
              <w:numPr>
                <w:ilvl w:val="0"/>
                <w:numId w:val="20"/>
              </w:numPr>
              <w:spacing w:after="0"/>
              <w:ind w:left="720" w:hanging="183"/>
              <w:rPr>
                <w:rStyle w:val="DefaultParagraphFont"/>
                <w:color w:val="auto"/>
                <w:sz w:val="18"/>
                <w:szCs w:val="18"/>
              </w:rPr>
            </w:pPr>
            <w:r w:rsidRPr="00041607">
              <w:rPr>
                <w:rStyle w:val="DefaultParagraphFont"/>
                <w:color w:val="000000"/>
              </w:rPr>
              <w:t>Year 7: From 43% to 60%</w:t>
            </w:r>
          </w:p>
          <w:p w:rsidR="00B06A30" w:rsidRPr="00041607" w:rsidP="00BB23C7">
            <w:pPr>
              <w:pStyle w:val="ESBodyText"/>
              <w:numPr>
                <w:ilvl w:val="0"/>
                <w:numId w:val="20"/>
              </w:numPr>
              <w:spacing w:after="0"/>
              <w:ind w:left="720" w:hanging="183"/>
              <w:rPr>
                <w:rStyle w:val="DefaultParagraphFont"/>
                <w:color w:val="auto"/>
                <w:sz w:val="18"/>
                <w:szCs w:val="18"/>
              </w:rPr>
            </w:pPr>
            <w:r w:rsidRPr="00041607">
              <w:rPr>
                <w:rStyle w:val="DefaultParagraphFont"/>
                <w:color w:val="000000"/>
              </w:rPr>
              <w:t>Year 8: From 30% to 55%</w:t>
            </w:r>
          </w:p>
          <w:p w:rsidR="00B06A30" w:rsidRPr="00041607" w:rsidP="00BB23C7">
            <w:pPr>
              <w:pStyle w:val="ESBodyText"/>
              <w:numPr>
                <w:ilvl w:val="0"/>
                <w:numId w:val="20"/>
              </w:numPr>
              <w:spacing w:after="0"/>
              <w:ind w:left="720" w:hanging="183"/>
              <w:rPr>
                <w:rStyle w:val="DefaultParagraphFont"/>
                <w:color w:val="auto"/>
                <w:sz w:val="18"/>
                <w:szCs w:val="18"/>
              </w:rPr>
            </w:pPr>
            <w:r w:rsidRPr="00041607">
              <w:rPr>
                <w:rStyle w:val="DefaultParagraphFont"/>
                <w:color w:val="000000"/>
              </w:rPr>
              <w:t>Year 9: From 21% to 55%</w:t>
            </w:r>
          </w:p>
          <w:p w:rsidR="00B06A30" w:rsidRPr="00041607" w:rsidP="00BB23C7">
            <w:pPr>
              <w:pStyle w:val="ESBodyText"/>
              <w:numPr>
                <w:ilvl w:val="0"/>
                <w:numId w:val="20"/>
              </w:numPr>
              <w:spacing w:after="0"/>
              <w:ind w:left="720" w:hanging="183"/>
              <w:rPr>
                <w:rStyle w:val="DefaultParagraphFont"/>
                <w:color w:val="auto"/>
                <w:sz w:val="18"/>
                <w:szCs w:val="18"/>
              </w:rPr>
            </w:pPr>
            <w:r w:rsidRPr="00041607">
              <w:rPr>
                <w:rStyle w:val="DefaultParagraphFont"/>
                <w:color w:val="000000"/>
              </w:rPr>
              <w:t>Year 10: From 33% to 55%</w:t>
            </w:r>
          </w:p>
          <w:p w:rsidR="00B06A30" w:rsidRPr="00041607" w:rsidP="00BB23C7">
            <w:pPr>
              <w:pStyle w:val="ESBodyText"/>
              <w:spacing w:after="0"/>
              <w:rPr>
                <w:rStyle w:val="DefaultParagraphFont"/>
                <w:color w:val="auto"/>
                <w:sz w:val="18"/>
                <w:szCs w:val="18"/>
              </w:rPr>
            </w:pPr>
            <w:r w:rsidRPr="00041607">
              <w:rPr>
                <w:rStyle w:val="DefaultParagraphFont"/>
                <w:color w:val="000000"/>
              </w:rPr>
              <w:t>1.3.3 By 2025, increase the percentage of students in each Year level (7-10) above expected growth in number from Av. 2018-2021 data and algebra each year to the following:</w:t>
            </w:r>
          </w:p>
          <w:p w:rsidR="00B06A30" w:rsidRPr="00041607" w:rsidP="00BB23C7">
            <w:pPr>
              <w:pStyle w:val="ESBodyText"/>
              <w:numPr>
                <w:ilvl w:val="0"/>
                <w:numId w:val="21"/>
              </w:numPr>
              <w:spacing w:after="0"/>
              <w:ind w:left="720" w:hanging="183"/>
              <w:rPr>
                <w:rStyle w:val="DefaultParagraphFont"/>
                <w:color w:val="auto"/>
                <w:sz w:val="18"/>
                <w:szCs w:val="18"/>
              </w:rPr>
            </w:pPr>
            <w:r w:rsidRPr="00041607">
              <w:rPr>
                <w:rStyle w:val="DefaultParagraphFont"/>
                <w:color w:val="000000"/>
              </w:rPr>
              <w:t>Year 7: From 46% to 60%</w:t>
            </w:r>
          </w:p>
          <w:p w:rsidR="00B06A30" w:rsidRPr="00041607" w:rsidP="00BB23C7">
            <w:pPr>
              <w:pStyle w:val="ESBodyText"/>
              <w:numPr>
                <w:ilvl w:val="0"/>
                <w:numId w:val="21"/>
              </w:numPr>
              <w:spacing w:after="0"/>
              <w:ind w:left="720" w:hanging="183"/>
              <w:rPr>
                <w:rStyle w:val="DefaultParagraphFont"/>
                <w:color w:val="auto"/>
                <w:sz w:val="18"/>
                <w:szCs w:val="18"/>
              </w:rPr>
            </w:pPr>
            <w:r w:rsidRPr="00041607">
              <w:rPr>
                <w:rStyle w:val="DefaultParagraphFont"/>
                <w:color w:val="000000"/>
              </w:rPr>
              <w:t>Year 8: From 50% to 60%</w:t>
            </w:r>
          </w:p>
          <w:p w:rsidR="00B06A30" w:rsidRPr="00041607" w:rsidP="00BB23C7">
            <w:pPr>
              <w:pStyle w:val="ESBodyText"/>
              <w:numPr>
                <w:ilvl w:val="0"/>
                <w:numId w:val="21"/>
              </w:numPr>
              <w:spacing w:after="0"/>
              <w:ind w:left="720" w:hanging="183"/>
              <w:rPr>
                <w:rStyle w:val="DefaultParagraphFont"/>
                <w:color w:val="auto"/>
                <w:sz w:val="18"/>
                <w:szCs w:val="18"/>
              </w:rPr>
            </w:pPr>
            <w:r w:rsidRPr="00041607">
              <w:rPr>
                <w:rStyle w:val="DefaultParagraphFont"/>
                <w:color w:val="000000"/>
              </w:rPr>
              <w:t>Year 9: From 33% to 55%</w:t>
            </w:r>
          </w:p>
          <w:p w:rsidR="00B06A30" w:rsidRPr="00041607" w:rsidP="00BB23C7">
            <w:pPr>
              <w:pStyle w:val="ESBodyText"/>
              <w:numPr>
                <w:ilvl w:val="0"/>
                <w:numId w:val="21"/>
              </w:numPr>
              <w:spacing w:after="0"/>
              <w:ind w:left="720" w:hanging="183"/>
              <w:rPr>
                <w:rStyle w:val="DefaultParagraphFont"/>
                <w:color w:val="auto"/>
                <w:sz w:val="18"/>
                <w:szCs w:val="18"/>
              </w:rPr>
            </w:pPr>
            <w:r w:rsidRPr="00041607">
              <w:rPr>
                <w:rStyle w:val="DefaultParagraphFont"/>
                <w:color w:val="000000"/>
              </w:rPr>
              <w:t>Year 10: From 22% to 55%</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color w:val="000000"/>
              </w:rPr>
              <w:t>From 2022 to 2025 increase the percentage of students completing the VCE from 94% (Av. 2018-2021) to 95% or more.</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color w:val="000000"/>
              </w:rPr>
              <w:t>VCAL / VCE Vocational major completion rates</w:t>
            </w:r>
          </w:p>
          <w:p w:rsidR="00B06A30" w:rsidRPr="00041607" w:rsidP="00BB23C7">
            <w:pPr>
              <w:pStyle w:val="ESBodyText"/>
              <w:spacing w:after="0"/>
              <w:rPr>
                <w:rStyle w:val="DefaultParagraphFont"/>
                <w:color w:val="auto"/>
                <w:sz w:val="18"/>
                <w:szCs w:val="18"/>
              </w:rPr>
            </w:pPr>
            <w:r w:rsidRPr="00041607">
              <w:rPr>
                <w:rStyle w:val="DefaultParagraphFont"/>
                <w:color w:val="000000"/>
              </w:rPr>
              <w:t>From 2022 to 2025 increase the percentage of students completing the VCAL / VCE Vocational major from 80% (Av. 2018-2021) to 85% or more.</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color w:val="000000"/>
              </w:rPr>
              <w:t>VET completion rates</w:t>
            </w:r>
          </w:p>
          <w:p w:rsidR="00B06A30" w:rsidRPr="00041607" w:rsidP="00BB23C7">
            <w:pPr>
              <w:pStyle w:val="ESBodyText"/>
              <w:spacing w:after="0"/>
              <w:rPr>
                <w:rStyle w:val="DefaultParagraphFont"/>
                <w:color w:val="auto"/>
                <w:sz w:val="18"/>
                <w:szCs w:val="18"/>
              </w:rPr>
            </w:pPr>
            <w:r w:rsidRPr="00041607">
              <w:rPr>
                <w:rStyle w:val="DefaultParagraphFont"/>
                <w:color w:val="000000"/>
              </w:rPr>
              <w:t>From 2022 to 2025 increase the percentage of students completing VET from 73% (Av. 2018-2021) to 80% or more.</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tcPr>
          <w:p w:rsidR="00B06A30" w:rsidRPr="00041607" w:rsidP="00BB23C7">
            <w:pPr>
              <w:pStyle w:val="ESBodyText"/>
              <w:spacing w:after="0"/>
              <w:rPr>
                <w:color w:val="auto"/>
                <w:lang w:val="en-AU"/>
              </w:rPr>
            </w:pPr>
            <w:r w:rsidRPr="00041607">
              <w:rPr>
                <w:rStyle w:val="DefaultParagraphFont"/>
                <w:color w:val="auto"/>
              </w:rPr>
              <w:t>Build student engagement and ownership of their learning.</w:t>
            </w:r>
          </w:p>
        </w:tc>
        <w:tc>
          <w:tcPr>
            <w:tcW w:w="1457" w:type="dxa"/>
            <w:vMerge w:val="restart"/>
          </w:tcPr>
          <w:p w:rsidR="00B06A30" w:rsidRPr="00041607" w:rsidP="00BB23C7">
            <w:pPr>
              <w:pStyle w:val="ESBodyText"/>
              <w:spacing w:after="0"/>
              <w:rPr>
                <w:color w:val="auto"/>
                <w:lang w:val="en-AU"/>
              </w:rPr>
            </w:pPr>
            <w:r w:rsidRPr="00041607">
              <w:rPr>
                <w:rStyle w:val="DefaultParagraphFont"/>
                <w:color w:val="auto"/>
              </w:rPr>
              <w:t>No</w:t>
            </w: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rFonts w:ascii="Arial" w:eastAsia="Arial" w:hAnsi="Arial" w:cs="Arial"/>
                <w:color w:val="auto"/>
              </w:rPr>
              <w:t>Attitudes to School Survey (AToSS)</w:t>
            </w:r>
          </w:p>
          <w:p w:rsidR="00B06A30" w:rsidRPr="00041607" w:rsidP="00BB23C7">
            <w:pPr>
              <w:pStyle w:val="ESBodyText"/>
              <w:spacing w:after="0"/>
              <w:rPr>
                <w:rStyle w:val="DefaultParagraphFont"/>
                <w:color w:val="auto"/>
                <w:sz w:val="18"/>
                <w:szCs w:val="18"/>
              </w:rPr>
            </w:pPr>
            <w:r w:rsidRPr="00041607">
              <w:rPr>
                <w:rStyle w:val="DefaultParagraphFont"/>
                <w:rFonts w:ascii="Arial" w:eastAsia="Arial" w:hAnsi="Arial" w:cs="Arial"/>
                <w:color w:val="auto"/>
              </w:rPr>
              <w:t>Increase the percentage of positive responses (Year 7-12) to the following by 2025:</w:t>
            </w:r>
          </w:p>
          <w:p w:rsidR="00B06A30" w:rsidRPr="00041607" w:rsidP="00BB23C7">
            <w:pPr>
              <w:pStyle w:val="ESBodyText"/>
              <w:numPr>
                <w:ilvl w:val="0"/>
                <w:numId w:val="22"/>
              </w:numPr>
              <w:spacing w:after="0"/>
              <w:ind w:left="720" w:hanging="183"/>
              <w:rPr>
                <w:rStyle w:val="DefaultParagraphFont"/>
                <w:color w:val="auto"/>
                <w:sz w:val="18"/>
                <w:szCs w:val="18"/>
              </w:rPr>
            </w:pPr>
            <w:r w:rsidRPr="00041607">
              <w:rPr>
                <w:rStyle w:val="DefaultParagraphFont"/>
                <w:rFonts w:ascii="Arial" w:eastAsia="Arial" w:hAnsi="Arial" w:cs="Arial"/>
                <w:color w:val="auto"/>
              </w:rPr>
              <w:t>Stimulated learning from 56% (Av. 2018- 2021) to 70% or more</w:t>
            </w:r>
          </w:p>
          <w:p w:rsidR="00B06A30" w:rsidRPr="00041607" w:rsidP="00BB23C7">
            <w:pPr>
              <w:pStyle w:val="ESBodyText"/>
              <w:numPr>
                <w:ilvl w:val="0"/>
                <w:numId w:val="22"/>
              </w:numPr>
              <w:spacing w:after="0"/>
              <w:ind w:left="720" w:hanging="183"/>
              <w:rPr>
                <w:rStyle w:val="DefaultParagraphFont"/>
                <w:color w:val="auto"/>
                <w:sz w:val="18"/>
                <w:szCs w:val="18"/>
              </w:rPr>
            </w:pPr>
            <w:r w:rsidRPr="00041607">
              <w:rPr>
                <w:rStyle w:val="DefaultParagraphFont"/>
                <w:rFonts w:ascii="Arial" w:eastAsia="Arial" w:hAnsi="Arial" w:cs="Arial"/>
                <w:color w:val="auto"/>
              </w:rPr>
              <w:t>Student voice and agency from 46% (Av. 2018- 2021) to 65% or more</w:t>
            </w:r>
          </w:p>
          <w:p w:rsidR="00B06A30" w:rsidRPr="00041607" w:rsidP="00BB23C7">
            <w:pPr>
              <w:pStyle w:val="ESBodyText"/>
              <w:numPr>
                <w:ilvl w:val="0"/>
                <w:numId w:val="22"/>
              </w:numPr>
              <w:spacing w:after="0"/>
              <w:ind w:left="720" w:hanging="183"/>
              <w:rPr>
                <w:rStyle w:val="DefaultParagraphFont"/>
                <w:color w:val="auto"/>
                <w:sz w:val="18"/>
                <w:szCs w:val="18"/>
              </w:rPr>
            </w:pPr>
            <w:r w:rsidRPr="00041607">
              <w:rPr>
                <w:rStyle w:val="DefaultParagraphFont"/>
                <w:rFonts w:ascii="Arial" w:eastAsia="Arial" w:hAnsi="Arial" w:cs="Arial"/>
                <w:color w:val="auto"/>
              </w:rPr>
              <w:t>Self-regulation and goal setting from 59% (Av. 2018- 2021) to 70% or more</w:t>
            </w:r>
          </w:p>
          <w:p w:rsidR="00B06A30" w:rsidRPr="00041607" w:rsidP="00BB23C7">
            <w:pPr>
              <w:pStyle w:val="ESBodyText"/>
              <w:numPr>
                <w:ilvl w:val="0"/>
                <w:numId w:val="22"/>
              </w:numPr>
              <w:spacing w:after="0"/>
              <w:ind w:left="720" w:hanging="183"/>
              <w:rPr>
                <w:rStyle w:val="DefaultParagraphFont"/>
                <w:color w:val="auto"/>
                <w:sz w:val="18"/>
                <w:szCs w:val="18"/>
              </w:rPr>
            </w:pPr>
            <w:r w:rsidRPr="00041607">
              <w:rPr>
                <w:rStyle w:val="DefaultParagraphFont"/>
                <w:rFonts w:ascii="Arial" w:eastAsia="Arial" w:hAnsi="Arial" w:cs="Arial"/>
                <w:color w:val="auto"/>
              </w:rPr>
              <w:t>Sense of confidence from 59% (Av. 2018- 2021) to 70% or more</w:t>
            </w:r>
          </w:p>
          <w:p w:rsidR="00B06A30" w:rsidRPr="00041607" w:rsidP="00BB23C7">
            <w:pPr>
              <w:pStyle w:val="ESBodyText"/>
              <w:numPr>
                <w:ilvl w:val="0"/>
                <w:numId w:val="22"/>
              </w:numPr>
              <w:spacing w:after="0"/>
              <w:ind w:left="720" w:hanging="183"/>
              <w:rPr>
                <w:rStyle w:val="DefaultParagraphFont"/>
                <w:color w:val="auto"/>
                <w:sz w:val="18"/>
                <w:szCs w:val="18"/>
              </w:rPr>
            </w:pPr>
            <w:r w:rsidRPr="00041607">
              <w:rPr>
                <w:rStyle w:val="DefaultParagraphFont"/>
                <w:rFonts w:ascii="Arial" w:eastAsia="Arial" w:hAnsi="Arial" w:cs="Arial"/>
                <w:color w:val="auto"/>
              </w:rPr>
              <w:t>Managing bullying from 54% (Av. 2018- 2021) to 65% or more</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rFonts w:ascii="Arial" w:eastAsia="Arial" w:hAnsi="Arial" w:cs="Arial"/>
                <w:color w:val="000000"/>
              </w:rPr>
              <w:t>School Staff Survey (SSS)</w:t>
            </w:r>
          </w:p>
          <w:p w:rsidR="00B06A30" w:rsidRPr="00041607" w:rsidP="00BB23C7">
            <w:pPr>
              <w:pStyle w:val="ESBodyText"/>
              <w:spacing w:after="0"/>
              <w:rPr>
                <w:rStyle w:val="DefaultParagraphFont"/>
                <w:color w:val="auto"/>
                <w:sz w:val="18"/>
                <w:szCs w:val="18"/>
              </w:rPr>
            </w:pPr>
            <w:r w:rsidRPr="00041607">
              <w:rPr>
                <w:rStyle w:val="DefaultParagraphFont"/>
                <w:rFonts w:ascii="Arial" w:eastAsia="Arial" w:hAnsi="Arial" w:cs="Arial"/>
                <w:color w:val="000000"/>
              </w:rPr>
              <w:t>Increase the percentage positive endorsement each year to 2025 of the following factors:</w:t>
            </w:r>
          </w:p>
          <w:p w:rsidR="00B06A30" w:rsidRPr="00041607" w:rsidP="00BB23C7">
            <w:pPr>
              <w:pStyle w:val="ESBodyText"/>
              <w:spacing w:after="0"/>
              <w:rPr>
                <w:rStyle w:val="DefaultParagraphFont"/>
                <w:color w:val="auto"/>
                <w:sz w:val="18"/>
                <w:szCs w:val="18"/>
              </w:rPr>
            </w:pPr>
            <w:r w:rsidRPr="00041607">
              <w:rPr>
                <w:rStyle w:val="DefaultParagraphFont"/>
                <w:rFonts w:ascii="Arial" w:eastAsia="Arial" w:hAnsi="Arial" w:cs="Arial"/>
                <w:color w:val="000000"/>
              </w:rPr>
              <w:t>School climate module:</w:t>
            </w:r>
          </w:p>
          <w:p w:rsidR="00B06A30" w:rsidRPr="00041607" w:rsidP="00BB23C7">
            <w:pPr>
              <w:pStyle w:val="ESBodyText"/>
              <w:numPr>
                <w:ilvl w:val="0"/>
                <w:numId w:val="23"/>
              </w:numPr>
              <w:spacing w:after="0"/>
              <w:ind w:left="720" w:hanging="183"/>
              <w:rPr>
                <w:rStyle w:val="DefaultParagraphFont"/>
                <w:color w:val="auto"/>
                <w:sz w:val="18"/>
                <w:szCs w:val="18"/>
              </w:rPr>
            </w:pPr>
            <w:r w:rsidRPr="00041607">
              <w:rPr>
                <w:rStyle w:val="DefaultParagraphFont"/>
                <w:rFonts w:ascii="Arial" w:eastAsia="Arial" w:hAnsi="Arial" w:cs="Arial"/>
                <w:color w:val="000000"/>
              </w:rPr>
              <w:t xml:space="preserve">Collective efficacy from 36% (Av. 2018- 2021) to 65% or more </w:t>
            </w:r>
          </w:p>
          <w:p w:rsidR="00B06A30" w:rsidRPr="00041607" w:rsidP="00BB23C7">
            <w:pPr>
              <w:pStyle w:val="ESBodyText"/>
              <w:numPr>
                <w:ilvl w:val="0"/>
                <w:numId w:val="23"/>
              </w:numPr>
              <w:spacing w:after="0"/>
              <w:ind w:left="720" w:hanging="183"/>
              <w:rPr>
                <w:rStyle w:val="DefaultParagraphFont"/>
                <w:color w:val="auto"/>
                <w:sz w:val="18"/>
                <w:szCs w:val="18"/>
              </w:rPr>
            </w:pPr>
            <w:r w:rsidRPr="00041607">
              <w:rPr>
                <w:rStyle w:val="DefaultParagraphFont"/>
                <w:rFonts w:ascii="Arial" w:eastAsia="Arial" w:hAnsi="Arial" w:cs="Arial"/>
                <w:color w:val="000000"/>
              </w:rPr>
              <w:t>Academic emphasis from 32% (Av. 2018- 2021) to 60% or more  </w:t>
            </w:r>
          </w:p>
          <w:p w:rsidR="00B06A30" w:rsidRPr="00041607" w:rsidP="00BB23C7">
            <w:pPr>
              <w:pStyle w:val="ESBodyText"/>
              <w:spacing w:after="0"/>
              <w:rPr>
                <w:rStyle w:val="DefaultParagraphFont"/>
                <w:color w:val="auto"/>
                <w:sz w:val="18"/>
                <w:szCs w:val="18"/>
              </w:rPr>
            </w:pPr>
            <w:r w:rsidRPr="00041607">
              <w:rPr>
                <w:rStyle w:val="DefaultParagraphFont"/>
                <w:rFonts w:ascii="Arial" w:eastAsia="Arial" w:hAnsi="Arial" w:cs="Arial"/>
                <w:color w:val="000000"/>
              </w:rPr>
              <w:t>School leadership module:</w:t>
            </w:r>
          </w:p>
          <w:p w:rsidR="00B06A30" w:rsidRPr="00041607" w:rsidP="00BB23C7">
            <w:pPr>
              <w:pStyle w:val="ESBodyText"/>
              <w:numPr>
                <w:ilvl w:val="0"/>
                <w:numId w:val="24"/>
              </w:numPr>
              <w:spacing w:after="0"/>
              <w:ind w:left="720" w:hanging="183"/>
              <w:rPr>
                <w:rStyle w:val="DefaultParagraphFont"/>
                <w:color w:val="auto"/>
                <w:sz w:val="18"/>
                <w:szCs w:val="18"/>
              </w:rPr>
            </w:pPr>
            <w:r w:rsidRPr="00041607">
              <w:rPr>
                <w:rStyle w:val="DefaultParagraphFont"/>
                <w:rFonts w:ascii="Arial" w:eastAsia="Arial" w:hAnsi="Arial" w:cs="Arial"/>
                <w:color w:val="000000"/>
              </w:rPr>
              <w:t xml:space="preserve">Instructional leadership from 69% (Av. 2018- 2021) to 75% or more </w:t>
            </w:r>
          </w:p>
          <w:p w:rsidR="00B06A30" w:rsidRPr="00041607" w:rsidP="00BB23C7">
            <w:pPr>
              <w:pStyle w:val="ESBodyText"/>
              <w:spacing w:after="0"/>
              <w:rPr>
                <w:rStyle w:val="DefaultParagraphFont"/>
                <w:color w:val="auto"/>
                <w:sz w:val="18"/>
                <w:szCs w:val="18"/>
              </w:rPr>
            </w:pPr>
            <w:r w:rsidRPr="00041607">
              <w:rPr>
                <w:rStyle w:val="DefaultParagraphFont"/>
                <w:rFonts w:ascii="Arial" w:eastAsia="Arial" w:hAnsi="Arial" w:cs="Arial"/>
                <w:color w:val="000000"/>
              </w:rPr>
              <w:t>Teaching and learning module factors:</w:t>
            </w:r>
          </w:p>
          <w:p w:rsidR="00B06A30" w:rsidRPr="00041607" w:rsidP="00BB23C7">
            <w:pPr>
              <w:pStyle w:val="ESBodyText"/>
              <w:numPr>
                <w:ilvl w:val="0"/>
                <w:numId w:val="25"/>
              </w:numPr>
              <w:spacing w:after="0"/>
              <w:ind w:left="720" w:hanging="183"/>
              <w:rPr>
                <w:rStyle w:val="DefaultParagraphFont"/>
                <w:color w:val="auto"/>
                <w:sz w:val="18"/>
                <w:szCs w:val="18"/>
              </w:rPr>
            </w:pPr>
            <w:r w:rsidRPr="00041607">
              <w:rPr>
                <w:rStyle w:val="DefaultParagraphFont"/>
                <w:rFonts w:ascii="Arial" w:eastAsia="Arial" w:hAnsi="Arial" w:cs="Arial"/>
                <w:color w:val="000000"/>
              </w:rPr>
              <w:t xml:space="preserve">Professional learning through peer observation from 47% (Av. 2018- 2021) to 75% or more </w:t>
            </w:r>
          </w:p>
          <w:p w:rsidR="00B06A30" w:rsidRPr="00041607" w:rsidP="00BB23C7">
            <w:pPr>
              <w:pStyle w:val="ESBodyText"/>
              <w:numPr>
                <w:ilvl w:val="0"/>
                <w:numId w:val="25"/>
              </w:numPr>
              <w:spacing w:after="0"/>
              <w:ind w:left="720" w:hanging="183"/>
              <w:rPr>
                <w:rStyle w:val="DefaultParagraphFont"/>
                <w:color w:val="auto"/>
                <w:sz w:val="18"/>
                <w:szCs w:val="18"/>
              </w:rPr>
            </w:pPr>
            <w:r w:rsidRPr="00041607">
              <w:rPr>
                <w:rStyle w:val="DefaultParagraphFont"/>
                <w:rFonts w:ascii="Arial" w:eastAsia="Arial" w:hAnsi="Arial" w:cs="Arial"/>
                <w:color w:val="000000"/>
              </w:rPr>
              <w:t xml:space="preserve">Use student feedback to improve practice from 59% (Av. 2018- 2021) to 70% or more </w:t>
            </w:r>
          </w:p>
          <w:p w:rsidR="00B06A30" w:rsidRPr="00041607" w:rsidP="00BB23C7">
            <w:pPr>
              <w:pStyle w:val="ESBodyText"/>
              <w:numPr>
                <w:ilvl w:val="0"/>
                <w:numId w:val="25"/>
              </w:numPr>
              <w:spacing w:after="0"/>
              <w:ind w:left="720" w:hanging="183"/>
              <w:rPr>
                <w:rStyle w:val="DefaultParagraphFont"/>
                <w:color w:val="auto"/>
                <w:sz w:val="18"/>
                <w:szCs w:val="18"/>
              </w:rPr>
            </w:pPr>
            <w:r w:rsidRPr="00041607">
              <w:rPr>
                <w:rStyle w:val="DefaultParagraphFont"/>
                <w:rFonts w:ascii="Arial" w:eastAsia="Arial" w:hAnsi="Arial" w:cs="Arial"/>
                <w:color w:val="000000"/>
              </w:rPr>
              <w:t xml:space="preserve">Understand how to analyse data from 48% (Av. 2018- 2021) to 70% or more </w:t>
            </w:r>
          </w:p>
          <w:p w:rsidR="00B06A30" w:rsidRPr="00041607" w:rsidP="00BB23C7">
            <w:pPr>
              <w:pStyle w:val="ESBodyText"/>
              <w:numPr>
                <w:ilvl w:val="0"/>
                <w:numId w:val="25"/>
              </w:numPr>
              <w:spacing w:after="0"/>
              <w:ind w:left="720" w:hanging="183"/>
              <w:rPr>
                <w:rStyle w:val="DefaultParagraphFont"/>
                <w:color w:val="auto"/>
                <w:sz w:val="18"/>
                <w:szCs w:val="18"/>
              </w:rPr>
            </w:pPr>
            <w:r w:rsidRPr="00041607">
              <w:rPr>
                <w:rStyle w:val="DefaultParagraphFont"/>
                <w:rFonts w:ascii="Arial" w:eastAsia="Arial" w:hAnsi="Arial" w:cs="Arial"/>
                <w:color w:val="000000"/>
              </w:rPr>
              <w:t xml:space="preserve">Promote student ownership of learning from 65% (Av. 2018- 2021) to 80% or more </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color w:val="000000"/>
              </w:rPr>
              <w:t>Student absence:</w:t>
            </w:r>
          </w:p>
          <w:p w:rsidR="00B06A30" w:rsidRPr="00041607" w:rsidP="00BB23C7">
            <w:pPr>
              <w:pStyle w:val="ESBodyText"/>
              <w:spacing w:after="0"/>
              <w:rPr>
                <w:rStyle w:val="DefaultParagraphFont"/>
                <w:color w:val="auto"/>
                <w:sz w:val="18"/>
                <w:szCs w:val="18"/>
              </w:rPr>
            </w:pPr>
            <w:r w:rsidRPr="00041607">
              <w:rPr>
                <w:rStyle w:val="DefaultParagraphFont"/>
                <w:color w:val="000000"/>
              </w:rPr>
              <w:t>Reduce the number of students absent for 20 days or more each year (2022-2025) from 46% (average 2018-2021) to less than 30% by 2025.</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tcPr>
          <w:p w:rsidR="00B06A30" w:rsidRPr="00041607" w:rsidP="00BB23C7">
            <w:pPr>
              <w:pStyle w:val="ESBodyText"/>
              <w:spacing w:after="0"/>
              <w:rPr>
                <w:color w:val="auto"/>
                <w:lang w:val="en-AU"/>
              </w:rPr>
            </w:pPr>
            <w:r w:rsidRPr="00041607">
              <w:rPr>
                <w:rStyle w:val="DefaultParagraphFont"/>
                <w:color w:val="auto"/>
              </w:rPr>
              <w:t>Strengthen student wellbeing and community engagement.</w:t>
            </w:r>
          </w:p>
        </w:tc>
        <w:tc>
          <w:tcPr>
            <w:tcW w:w="1457" w:type="dxa"/>
            <w:vMerge w:val="restart"/>
          </w:tcPr>
          <w:p w:rsidR="00B06A30" w:rsidRPr="00041607" w:rsidP="00BB23C7">
            <w:pPr>
              <w:pStyle w:val="ESBodyText"/>
              <w:spacing w:after="0"/>
              <w:rPr>
                <w:color w:val="auto"/>
                <w:lang w:val="en-AU"/>
              </w:rPr>
            </w:pPr>
            <w:r w:rsidRPr="00041607">
              <w:rPr>
                <w:rStyle w:val="DefaultParagraphFont"/>
                <w:color w:val="auto"/>
              </w:rPr>
              <w:t>No</w:t>
            </w: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color w:val="000000"/>
              </w:rPr>
              <w:t xml:space="preserve">AToSS Survey </w:t>
            </w:r>
          </w:p>
          <w:p w:rsidR="00B06A30" w:rsidRPr="00041607" w:rsidP="00BB23C7">
            <w:pPr>
              <w:pStyle w:val="ESBodyText"/>
              <w:spacing w:after="0"/>
              <w:rPr>
                <w:rStyle w:val="DefaultParagraphFont"/>
                <w:color w:val="auto"/>
                <w:sz w:val="18"/>
                <w:szCs w:val="18"/>
              </w:rPr>
            </w:pPr>
            <w:r w:rsidRPr="00041607">
              <w:rPr>
                <w:rStyle w:val="DefaultParagraphFont"/>
                <w:color w:val="000000"/>
              </w:rPr>
              <w:t>Increase the percentage of positive responses (Year 7-12) each year from Av 2018-2021 data to 2025 to the following:</w:t>
            </w:r>
          </w:p>
          <w:p w:rsidR="00B06A30" w:rsidRPr="00041607" w:rsidP="00BB23C7">
            <w:pPr>
              <w:pStyle w:val="ESBodyText"/>
              <w:numPr>
                <w:ilvl w:val="0"/>
                <w:numId w:val="26"/>
              </w:numPr>
              <w:spacing w:after="0"/>
              <w:ind w:left="720" w:hanging="183"/>
              <w:rPr>
                <w:rStyle w:val="DefaultParagraphFont"/>
                <w:color w:val="auto"/>
                <w:sz w:val="18"/>
                <w:szCs w:val="18"/>
              </w:rPr>
            </w:pPr>
            <w:r w:rsidRPr="00041607">
              <w:rPr>
                <w:rStyle w:val="DefaultParagraphFont"/>
                <w:color w:val="000000"/>
              </w:rPr>
              <w:t>Sense of connectedness from 53% to 65% (Social engagement)</w:t>
            </w:r>
          </w:p>
          <w:p w:rsidR="00B06A30" w:rsidRPr="00041607" w:rsidP="00BB23C7">
            <w:pPr>
              <w:pStyle w:val="ESBodyText"/>
              <w:numPr>
                <w:ilvl w:val="0"/>
                <w:numId w:val="26"/>
              </w:numPr>
              <w:spacing w:after="0"/>
              <w:ind w:left="720" w:hanging="183"/>
              <w:rPr>
                <w:rStyle w:val="DefaultParagraphFont"/>
                <w:color w:val="auto"/>
                <w:sz w:val="18"/>
                <w:szCs w:val="18"/>
              </w:rPr>
            </w:pPr>
            <w:r w:rsidRPr="00041607">
              <w:rPr>
                <w:rStyle w:val="DefaultParagraphFont"/>
                <w:color w:val="000000"/>
              </w:rPr>
              <w:t>Emotional awareness and regulation from 73% (2021) to 75% (Emotional &amp; relational engagement)</w:t>
            </w:r>
          </w:p>
          <w:p w:rsidR="00B06A30" w:rsidRPr="00041607" w:rsidP="00BB23C7">
            <w:pPr>
              <w:pStyle w:val="ESBodyText"/>
              <w:numPr>
                <w:ilvl w:val="0"/>
                <w:numId w:val="26"/>
              </w:numPr>
              <w:spacing w:after="0"/>
              <w:ind w:left="720" w:hanging="183"/>
              <w:rPr>
                <w:rStyle w:val="DefaultParagraphFont"/>
                <w:color w:val="auto"/>
                <w:sz w:val="18"/>
                <w:szCs w:val="18"/>
              </w:rPr>
            </w:pPr>
            <w:r w:rsidRPr="00041607">
              <w:rPr>
                <w:rStyle w:val="DefaultParagraphFont"/>
                <w:color w:val="000000"/>
              </w:rPr>
              <w:t>Teacher concern from 50% to 70% (Teacher /student relations)</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color w:val="000000"/>
              </w:rPr>
              <w:t>School Staff Survey (SSS)</w:t>
            </w:r>
          </w:p>
          <w:p w:rsidR="00B06A30" w:rsidRPr="00041607" w:rsidP="00BB23C7">
            <w:pPr>
              <w:pStyle w:val="ESBodyText"/>
              <w:spacing w:after="0"/>
              <w:rPr>
                <w:rStyle w:val="DefaultParagraphFont"/>
                <w:color w:val="auto"/>
                <w:sz w:val="18"/>
                <w:szCs w:val="18"/>
              </w:rPr>
            </w:pPr>
            <w:r w:rsidRPr="00041607">
              <w:rPr>
                <w:rStyle w:val="DefaultParagraphFont"/>
                <w:color w:val="000000"/>
              </w:rPr>
              <w:t xml:space="preserve">Increase the percentage positive endorsement each year from Av 2018-2021 data to 2025 of the following factors: </w:t>
            </w:r>
          </w:p>
          <w:p w:rsidR="00B06A30" w:rsidRPr="00041607" w:rsidP="00BB23C7">
            <w:pPr>
              <w:pStyle w:val="ESBodyText"/>
              <w:numPr>
                <w:ilvl w:val="0"/>
                <w:numId w:val="27"/>
              </w:numPr>
              <w:spacing w:after="0"/>
              <w:ind w:left="720" w:hanging="183"/>
              <w:rPr>
                <w:rStyle w:val="DefaultParagraphFont"/>
                <w:color w:val="auto"/>
                <w:sz w:val="18"/>
                <w:szCs w:val="18"/>
              </w:rPr>
            </w:pPr>
            <w:r w:rsidRPr="00041607">
              <w:rPr>
                <w:rStyle w:val="DefaultParagraphFont"/>
                <w:color w:val="000000"/>
              </w:rPr>
              <w:t>Trust in students and parents from 29% to 60% or more</w:t>
            </w:r>
          </w:p>
          <w:p w:rsidR="00B06A30" w:rsidRPr="00041607" w:rsidP="00BB23C7">
            <w:pPr>
              <w:pStyle w:val="ESBodyText"/>
              <w:numPr>
                <w:ilvl w:val="0"/>
                <w:numId w:val="27"/>
              </w:numPr>
              <w:spacing w:after="0"/>
              <w:ind w:left="720" w:hanging="183"/>
              <w:rPr>
                <w:rStyle w:val="DefaultParagraphFont"/>
                <w:color w:val="auto"/>
                <w:sz w:val="18"/>
                <w:szCs w:val="18"/>
              </w:rPr>
            </w:pPr>
            <w:r w:rsidRPr="00041607">
              <w:rPr>
                <w:rStyle w:val="DefaultParagraphFont"/>
                <w:color w:val="000000"/>
              </w:rPr>
              <w:t>Parent and community engagement from 54% to 70% or more</w:t>
            </w:r>
          </w:p>
          <w:p w:rsidR="00B06A30" w:rsidRPr="00041607" w:rsidP="00BB23C7">
            <w:pPr>
              <w:pStyle w:val="ESBodyText"/>
              <w:numPr>
                <w:ilvl w:val="0"/>
                <w:numId w:val="27"/>
              </w:numPr>
              <w:spacing w:after="0"/>
              <w:ind w:left="720" w:hanging="183"/>
              <w:rPr>
                <w:rStyle w:val="DefaultParagraphFont"/>
                <w:color w:val="auto"/>
                <w:sz w:val="18"/>
                <w:szCs w:val="18"/>
              </w:rPr>
            </w:pPr>
            <w:r w:rsidRPr="00041607">
              <w:rPr>
                <w:rStyle w:val="DefaultParagraphFont"/>
                <w:color w:val="000000"/>
              </w:rPr>
              <w:t>Teacher collaboration from 50% to 75% or more</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color w:val="auto"/>
              </w:rPr>
              <w:t>Parent Opinion Survey:</w:t>
            </w:r>
          </w:p>
          <w:p w:rsidR="00B06A30" w:rsidRPr="00041607" w:rsidP="00BB23C7">
            <w:pPr>
              <w:pStyle w:val="ESBodyText"/>
              <w:spacing w:after="0"/>
              <w:rPr>
                <w:rStyle w:val="DefaultParagraphFont"/>
                <w:color w:val="auto"/>
                <w:sz w:val="18"/>
                <w:szCs w:val="18"/>
              </w:rPr>
            </w:pPr>
            <w:r w:rsidRPr="00041607">
              <w:rPr>
                <w:rStyle w:val="DefaultParagraphFont"/>
                <w:color w:val="auto"/>
              </w:rPr>
              <w:t>Increase the percentage of positive responses to Parent Community engagement (3 factors combined) from 60% from Av 2018-2021 data to 70% by 2025.</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p>
        </w:tc>
      </w:tr>
    </w:tbl>
    <w:p w:rsidR="003E4341" w:rsidRPr="00041607" w:rsidP="00BB23C7">
      <w:pPr>
        <w:pStyle w:val="ESBodyText"/>
        <w:spacing w:after="0"/>
        <w:rPr>
          <w:lang w:val="en-AU"/>
        </w:rPr>
      </w:pPr>
    </w:p>
    <w:p w:rsidR="00973DEE" w:rsidRPr="00041607"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tblPr>
      <w:tblGrid>
        <w:gridCol w:w="3772"/>
        <w:gridCol w:w="8250"/>
        <w:gridCol w:w="3188"/>
      </w:tblGrid>
      <w:tr w:rsidTr="00DA66C8">
        <w:tblPrEx>
          <w:tblW w:w="1521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b/>
                <w:sz w:val="24"/>
                <w:lang w:val="en-AU"/>
              </w:rPr>
              <w:t>Goal 1</w:t>
            </w:r>
          </w:p>
        </w:tc>
        <w:tc>
          <w:tcPr>
            <w:tcW w:w="11438" w:type="dxa"/>
            <w:gridSpan w:val="2"/>
            <w:shd w:val="clear" w:color="auto" w:fill="D9D9D9" w:themeFill="background1" w:themeFillShade="D9"/>
          </w:tcPr>
          <w:p w:rsidR="00973DEE" w:rsidRPr="00041607" w:rsidP="00BB23C7">
            <w:pPr>
              <w:pStyle w:val="ESBodyText"/>
              <w:spacing w:after="0"/>
              <w:rPr>
                <w:b/>
                <w:color w:val="auto"/>
                <w:lang w:val="en-AU"/>
              </w:rPr>
            </w:pPr>
            <w:r w:rsidRPr="00041607">
              <w:rPr>
                <w:rStyle w:val="DefaultParagraphFont"/>
                <w:b/>
                <w:bCs/>
                <w:color w:val="auto"/>
              </w:rPr>
              <w:t>2023 Priorities Goal</w:t>
            </w:r>
            <w:r w:rsidRPr="00041607">
              <w:rPr>
                <w:rStyle w:val="DefaultParagraphFont"/>
                <w:b/>
                <w:bCs/>
                <w:color w:val="auto"/>
              </w:rPr>
              <w:br/>
            </w:r>
            <w:r w:rsidRPr="00041607">
              <w:rPr>
                <w:rStyle w:val="DefaultParagraphFont"/>
                <w:b/>
                <w:color w:val="auto"/>
              </w:rPr>
              <w:t>In 2023 we will continue to focus on student learning - with an increased focus on numeracy - and student wellbeing through the 2023 Priorities Goal, a learning Key Improvement Strategy and a wellbeing Key Improvement Strategy.</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1.1</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LEARNING</w:t>
              <w:br/>
              <w:t>1a: Support both students who need scaffolding and those who have thrived to continue to extend their learning, especially in numeracy</w:t>
              <w:br/>
              <w:br/>
              <w:t>-Increase % Top 2 bands NAPLAN Year 9 in Reading (&gt;5%), Writing (&gt;5%), Numeracy (&gt;5%)</w:t>
              <w:br/>
              <w:t>-Increase % Med to High Learning Growth Year 9 Reading (&gt;22% High Growth), Writing (&gt;15% Growth), Numeracy (&gt;22% High Growth)</w:t>
              <w:br/>
              <w:t>-66% of students at Year 7, Year 8, Year 9 and Year 10 demonstrate at least 12 months growth in Teacher Judgement for Number and Algebra</w:t>
              <w:br/>
              <w:t xml:space="preserve">-AtoSS – Stimulated Learning &gt; 60% Positive Endorsement </w:t>
              <w:br/>
              <w:t>-SSS – Guaranteed and Viable Curriculum &gt; 60% Positive Endorsement</w:t>
              <w:br/>
              <w:t>-VCE Value Add &gt; 0</w:t>
              <w:br/>
              <w:t>-VCE Median Study Score &gt; 26</w:t>
              <w:br/>
              <w:t>-VET Competencies Completion &gt; 80%</w:t>
              <w:br/>
              <w:t>-VCE VM Completion Rate &gt; 90%</w:t>
              <w:br/>
              <w:br/>
              <w:br/>
              <w:t>WELLBEING</w:t>
              <w:br/>
              <w:t>1b: Effectively mobilise available resources to support students wellbeing and mental health, especially the most vulnerable.</w:t>
              <w:br/>
              <w:br/>
              <w:t>- &lt;45% of students absent for &gt;20 days and &lt;30% of students absent for &gt;30 days</w:t>
              <w:br/>
              <w:t xml:space="preserve">- Meet or exceed similar schools AtoSS </w:t>
              <w:br/>
              <w:t>- Student voice and agency and sense of connectedness measures to be above similar schools in each ATOSS</w:t>
            </w:r>
          </w:p>
        </w:tc>
      </w:tr>
      <w:tr w:rsidTr="00A800BE">
        <w:tblPrEx>
          <w:tblW w:w="15210" w:type="dxa"/>
          <w:tblInd w:w="-545" w:type="dxa"/>
          <w:tblCellMar>
            <w:top w:w="115" w:type="dxa"/>
            <w:left w:w="115" w:type="dxa"/>
            <w:bottom w:w="115" w:type="dxa"/>
            <w:right w:w="115" w:type="dxa"/>
          </w:tblCellMar>
          <w:tblLook w:val="04A0"/>
        </w:tblPrEx>
        <w:trPr>
          <w:trHeight w:val="15"/>
        </w:trPr>
        <w:tc>
          <w:tcPr>
            <w:tcW w:w="12022" w:type="dxa"/>
            <w:gridSpan w:val="2"/>
            <w:shd w:val="clear" w:color="auto" w:fill="D9D9D9" w:themeFill="background1" w:themeFillShade="D9"/>
          </w:tcPr>
          <w:p w:rsidR="00DB56D4" w:rsidRPr="00041607"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rsidR="00DB56D4" w:rsidRPr="00041607" w:rsidP="00BB23C7">
            <w:pPr>
              <w:pStyle w:val="ESBodyText"/>
              <w:spacing w:after="0"/>
              <w:rPr>
                <w:b/>
                <w:lang w:val="en-AU"/>
              </w:rPr>
            </w:pPr>
            <w:r w:rsidRPr="00041607">
              <w:rPr>
                <w:color w:val="000000"/>
                <w:lang w:val="en-AU"/>
              </w:rPr>
              <w:t>Is this KIS selected for focus this year?</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FFFFF"/>
            <w:noWrap w:val="0"/>
          </w:tcPr>
          <w:p w:rsidR="00DB56D4" w:rsidRPr="00041607" w:rsidP="00BB23C7">
            <w:pPr>
              <w:pStyle w:val="ESBodyText"/>
              <w:spacing w:after="0"/>
              <w:rPr>
                <w:b/>
                <w:lang w:val="en-AU"/>
              </w:rPr>
            </w:pPr>
            <w:r w:rsidRPr="00041607">
              <w:rPr>
                <w:b/>
                <w:sz w:val="20"/>
                <w:szCs w:val="20"/>
                <w:lang w:val="en-AU"/>
              </w:rPr>
              <w:t>KIS 1.a</w:t>
            </w:r>
          </w:p>
        </w:tc>
        <w:tc>
          <w:tcPr>
            <w:tcW w:w="8250" w:type="dxa"/>
            <w:shd w:val="clear" w:color="auto" w:fill="FFFFFF"/>
            <w:noWrap w:val="0"/>
          </w:tcPr>
          <w:p w:rsidR="00DB56D4" w:rsidRPr="00041607" w:rsidP="00BB23C7">
            <w:pPr>
              <w:pStyle w:val="ESBodyText"/>
              <w:spacing w:after="0"/>
              <w:rPr>
                <w:b/>
                <w:lang w:val="en-AU"/>
              </w:rPr>
            </w:pPr>
            <w:r>
              <w:rPr>
                <w:sz w:val="20"/>
              </w:rPr>
              <w:t>Learning - Support both those who need scaffolding and those who have thrived to continue to extend their learning, especially in numeracy</w:t>
            </w:r>
          </w:p>
        </w:tc>
        <w:tc>
          <w:tcPr>
            <w:tcW w:w="3188" w:type="dxa"/>
            <w:noWrap w:val="0"/>
          </w:tcPr>
          <w:p w:rsidR="00DB56D4" w:rsidRPr="00041607" w:rsidP="00BB23C7">
            <w:pPr>
              <w:pStyle w:val="ESBodyText"/>
              <w:spacing w:after="0"/>
              <w:rPr>
                <w:b/>
                <w:lang w:val="en-AU"/>
              </w:rPr>
            </w:pPr>
            <w:r>
              <w:rPr>
                <w:sz w:val="20"/>
              </w:rPr>
              <w:t>Yes</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FFFFF"/>
            <w:noWrap w:val="0"/>
          </w:tcPr>
          <w:p w:rsidR="00DB56D4" w:rsidRPr="00041607" w:rsidP="00BB23C7">
            <w:pPr>
              <w:pStyle w:val="ESBodyText"/>
              <w:spacing w:after="0"/>
              <w:rPr>
                <w:b/>
                <w:lang w:val="en-AU"/>
              </w:rPr>
            </w:pPr>
            <w:r w:rsidRPr="00041607">
              <w:rPr>
                <w:b/>
                <w:sz w:val="20"/>
                <w:szCs w:val="20"/>
                <w:lang w:val="en-AU"/>
              </w:rPr>
              <w:t>KIS 1.b</w:t>
            </w:r>
          </w:p>
        </w:tc>
        <w:tc>
          <w:tcPr>
            <w:tcW w:w="8250" w:type="dxa"/>
            <w:shd w:val="clear" w:color="auto" w:fill="FFFFFF"/>
            <w:noWrap w:val="0"/>
          </w:tcPr>
          <w:p w:rsidR="00DB56D4" w:rsidRPr="00041607" w:rsidP="00BB23C7">
            <w:pPr>
              <w:pStyle w:val="ESBodyText"/>
              <w:spacing w:after="0"/>
              <w:rPr>
                <w:b/>
                <w:lang w:val="en-AU"/>
              </w:rPr>
            </w:pPr>
            <w:r>
              <w:rPr>
                <w:sz w:val="20"/>
              </w:rPr>
              <w:t>Wellbeing - Effectively mobilise available resources to support students' wellbeing and mental health, especially the most vulnerable</w:t>
            </w:r>
          </w:p>
        </w:tc>
        <w:tc>
          <w:tcPr>
            <w:tcW w:w="3188" w:type="dxa"/>
            <w:noWrap w:val="0"/>
          </w:tcPr>
          <w:p w:rsidR="00DB56D4" w:rsidRPr="00041607" w:rsidP="00BB23C7">
            <w:pPr>
              <w:pStyle w:val="ESBodyText"/>
              <w:spacing w:after="0"/>
              <w:rPr>
                <w:b/>
                <w:lang w:val="en-AU"/>
              </w:rPr>
            </w:pPr>
            <w:r>
              <w:rPr>
                <w:sz w:val="20"/>
              </w:rPr>
              <w:t>Yes</w:t>
            </w:r>
          </w:p>
        </w:tc>
      </w:tr>
      <w:tr w:rsidTr="0001315D">
        <w:tblPrEx>
          <w:tblW w:w="15210" w:type="dxa"/>
          <w:tblInd w:w="-545" w:type="dxa"/>
          <w:tblCellMar>
            <w:top w:w="115" w:type="dxa"/>
            <w:left w:w="115" w:type="dxa"/>
            <w:bottom w:w="115" w:type="dxa"/>
            <w:right w:w="115" w:type="dxa"/>
          </w:tblCellMar>
          <w:tblLook w:val="04A0"/>
        </w:tblPrEx>
        <w:trPr>
          <w:trHeight w:val="1741"/>
        </w:trPr>
        <w:tc>
          <w:tcPr>
            <w:tcW w:w="3772" w:type="dxa"/>
            <w:shd w:val="clear" w:color="auto" w:fill="D9D9D9" w:themeFill="background1" w:themeFillShade="D9"/>
          </w:tcPr>
          <w:p w:rsidR="00BD3D7C" w:rsidRPr="00041607" w:rsidP="00BB23C7">
            <w:pPr>
              <w:pStyle w:val="ESBodyText"/>
              <w:spacing w:after="0"/>
              <w:rPr>
                <w:b/>
                <w:lang w:val="en-AU"/>
              </w:rPr>
            </w:pPr>
            <w:r w:rsidRPr="00041607">
              <w:rPr>
                <w:color w:val="000000"/>
                <w:lang w:val="en-AU"/>
              </w:rPr>
              <w:t xml:space="preserve">Explain why the school has selected this KIS as a focus for this year. Please </w:t>
            </w:r>
            <w:r w:rsidRPr="00041607">
              <w:rPr>
                <w:color w:val="000000"/>
                <w:lang w:val="en-AU"/>
              </w:rPr>
              <w:t>make reference</w:t>
            </w:r>
            <w:r w:rsidRPr="00041607">
              <w:rPr>
                <w:color w:val="000000"/>
                <w:lang w:val="en-AU"/>
              </w:rPr>
              <w:t xml:space="preserve"> to the self-evaluation, relevant school data, the progress against School Strategic Plan (SSP) goals, targets, and the diagnosis of issues requiring particular attention.</w:t>
            </w:r>
          </w:p>
        </w:tc>
        <w:tc>
          <w:tcPr>
            <w:tcW w:w="11438" w:type="dxa"/>
            <w:gridSpan w:val="2"/>
            <w:noWrap w:val="0"/>
          </w:tcPr>
          <w:p w:rsidR="00BD3D7C" w:rsidRPr="00041607" w:rsidP="00BB23C7">
            <w:pPr>
              <w:pStyle w:val="ESBodyText"/>
              <w:spacing w:after="0"/>
              <w:rPr>
                <w:b/>
                <w:lang w:val="en-AU"/>
              </w:rPr>
            </w:pPr>
            <w:r>
              <w:rPr>
                <w:sz w:val="20"/>
              </w:rPr>
              <w:t>Please leave this field empty. Schools are not required to provide a rationale as this is in line with system priorities for 2023.</w:t>
            </w:r>
          </w:p>
        </w:tc>
      </w:tr>
    </w:tbl>
    <w:p w:rsidR="000A423E" w:rsidRPr="00041607" w:rsidP="004E7357">
      <w:pPr>
        <w:pStyle w:val="ESBodyText"/>
        <w:rPr>
          <w:lang w:val="en-AU"/>
        </w:rPr>
      </w:pPr>
    </w:p>
    <w:p>
      <w:pPr>
        <w:sectPr w:rsidSect="00CD3E4E">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rsidR="006307C3" w:rsidRPr="002F40EA" w:rsidP="006C7A56">
      <w:pPr>
        <w:ind w:right="-542"/>
        <w:rPr>
          <w:b/>
          <w:color w:val="AF272F"/>
          <w:sz w:val="32"/>
          <w:szCs w:val="32"/>
          <w:lang w:val="en-AU"/>
        </w:rPr>
      </w:pPr>
      <w:r w:rsidRPr="002F40EA">
        <w:rPr>
          <w:b/>
          <w:color w:val="AF272F"/>
          <w:sz w:val="32"/>
          <w:szCs w:val="32"/>
          <w:lang w:val="en-AU"/>
        </w:rPr>
        <w:t xml:space="preserve">Define </w:t>
      </w:r>
      <w:r w:rsidRPr="002F40EA" w:rsidR="00802D4E">
        <w:rPr>
          <w:b/>
          <w:color w:val="AF272F"/>
          <w:sz w:val="32"/>
          <w:szCs w:val="32"/>
          <w:lang w:val="en-AU"/>
        </w:rPr>
        <w:t>a</w:t>
      </w:r>
      <w:r w:rsidRPr="002F40EA" w:rsidR="00510C5D">
        <w:rPr>
          <w:b/>
          <w:color w:val="AF272F"/>
          <w:sz w:val="32"/>
          <w:szCs w:val="32"/>
          <w:lang w:val="en-AU"/>
        </w:rPr>
        <w:t xml:space="preserve">ctions, </w:t>
      </w:r>
      <w:r w:rsidRPr="002F40EA" w:rsidR="00802D4E">
        <w:rPr>
          <w:b/>
          <w:color w:val="AF272F"/>
          <w:sz w:val="32"/>
          <w:szCs w:val="32"/>
          <w:lang w:val="en-AU"/>
        </w:rPr>
        <w:t>o</w:t>
      </w:r>
      <w:r w:rsidRPr="002F40EA" w:rsidR="00510C5D">
        <w:rPr>
          <w:b/>
          <w:color w:val="AF272F"/>
          <w:sz w:val="32"/>
          <w:szCs w:val="32"/>
          <w:lang w:val="en-AU"/>
        </w:rPr>
        <w:t>utcomes</w:t>
      </w:r>
      <w:r w:rsidRPr="002F40EA" w:rsidR="00802D4E">
        <w:rPr>
          <w:b/>
          <w:color w:val="AF272F"/>
          <w:sz w:val="32"/>
          <w:szCs w:val="32"/>
          <w:lang w:val="en-AU"/>
        </w:rPr>
        <w:t>, success indicators</w:t>
      </w:r>
      <w:r w:rsidRPr="002F40EA" w:rsidR="00510C5D">
        <w:rPr>
          <w:b/>
          <w:color w:val="AF272F"/>
          <w:sz w:val="32"/>
          <w:szCs w:val="32"/>
          <w:lang w:val="en-AU"/>
        </w:rPr>
        <w:t xml:space="preserve"> and</w:t>
      </w:r>
      <w:r w:rsidRPr="002F40EA" w:rsidR="008846DA">
        <w:rPr>
          <w:b/>
          <w:color w:val="AF272F"/>
          <w:sz w:val="32"/>
          <w:szCs w:val="32"/>
          <w:lang w:val="en-AU"/>
        </w:rPr>
        <w:t xml:space="preserve"> </w:t>
      </w:r>
      <w:r w:rsidRPr="002F40EA" w:rsidR="00802D4E">
        <w:rPr>
          <w:b/>
          <w:color w:val="AF272F"/>
          <w:sz w:val="32"/>
          <w:szCs w:val="32"/>
          <w:lang w:val="en-AU"/>
        </w:rPr>
        <w:t>a</w:t>
      </w:r>
      <w:r w:rsidRPr="002F40EA" w:rsidR="00ED5CB1">
        <w:rPr>
          <w:b/>
          <w:color w:val="AF272F"/>
          <w:sz w:val="32"/>
          <w:szCs w:val="32"/>
          <w:lang w:val="en-AU"/>
        </w:rPr>
        <w:t>ctivities</w:t>
      </w:r>
    </w:p>
    <w:p w:rsidR="005539D1" w:rsidRPr="002F40EA" w:rsidP="00C259B6">
      <w:pPr>
        <w:pStyle w:val="ESIntroParagraph"/>
        <w:ind w:left="-567" w:right="4330" w:firstLine="567"/>
        <w:rPr>
          <w:color w:val="AF272F"/>
          <w:sz w:val="20"/>
          <w:szCs w:val="20"/>
          <w:lang w:val="en-AU"/>
        </w:rPr>
      </w:pPr>
    </w:p>
    <w:tbl>
      <w:tblPr>
        <w:tblStyle w:val="TableGrid"/>
        <w:tblW w:w="15115" w:type="dxa"/>
        <w:tblCellMar>
          <w:top w:w="115" w:type="dxa"/>
          <w:left w:w="115" w:type="dxa"/>
          <w:bottom w:w="115" w:type="dxa"/>
          <w:right w:w="115" w:type="dxa"/>
        </w:tblCellMar>
        <w:tblLook w:val="04A0"/>
      </w:tblPr>
      <w:tblGrid>
        <w:gridCol w:w="3119"/>
        <w:gridCol w:w="3086"/>
        <w:gridCol w:w="3150"/>
        <w:gridCol w:w="1530"/>
        <w:gridCol w:w="2070"/>
        <w:gridCol w:w="2160"/>
      </w:tblGrid>
      <w:tr w:rsidTr="00FA4D4A">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b/>
                <w:sz w:val="24"/>
                <w:szCs w:val="24"/>
                <w:lang w:val="en-AU"/>
              </w:rPr>
              <w:t>Goal 1</w:t>
            </w:r>
          </w:p>
        </w:tc>
        <w:tc>
          <w:tcPr>
            <w:tcW w:w="11996" w:type="dxa"/>
            <w:gridSpan w:val="5"/>
            <w:shd w:val="clear" w:color="auto" w:fill="D9D9D9" w:themeFill="background1" w:themeFillShade="D9"/>
          </w:tcPr>
          <w:p w:rsidR="00973DEE" w:rsidRPr="002F40EA" w:rsidP="00FE3D5C">
            <w:pPr>
              <w:pStyle w:val="ESBodyText"/>
              <w:spacing w:after="0"/>
              <w:rPr>
                <w:color w:val="auto"/>
                <w:sz w:val="20"/>
                <w:szCs w:val="24"/>
                <w:lang w:val="en-AU"/>
              </w:rPr>
            </w:pPr>
            <w:r w:rsidRPr="002F40EA">
              <w:rPr>
                <w:rStyle w:val="DefaultParagraphFont"/>
                <w:b/>
                <w:bCs/>
                <w:color w:val="auto"/>
                <w:sz w:val="20"/>
                <w:szCs w:val="24"/>
              </w:rPr>
              <w:t>2023 Priorities Goal</w:t>
            </w:r>
            <w:r w:rsidRPr="002F40EA">
              <w:rPr>
                <w:rStyle w:val="DefaultParagraphFont"/>
                <w:b/>
                <w:bCs/>
                <w:color w:val="auto"/>
                <w:sz w:val="20"/>
                <w:szCs w:val="24"/>
              </w:rPr>
              <w:br/>
            </w:r>
            <w:r w:rsidRPr="002F40EA">
              <w:rPr>
                <w:rStyle w:val="DefaultParagraphFont"/>
                <w:color w:val="auto"/>
                <w:sz w:val="20"/>
                <w:szCs w:val="24"/>
              </w:rPr>
              <w:t>In 2023 we will continue to focus on student learning - with an increased focus on numeracy - and student wellbeing through the 2023 Priorities Goal, a learning Key Improvement Strategy and a wellbeing Key Improvement Strategy.</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sz w:val="20"/>
                <w:szCs w:val="24"/>
                <w:lang w:val="en-AU"/>
              </w:rPr>
              <w:t>12-month target 1.1</w:t>
            </w:r>
            <w:r w:rsidRPr="002F40EA" w:rsidR="008415C6">
              <w:rPr>
                <w:szCs w:val="24"/>
                <w:lang w:val="en-AU"/>
              </w:rPr>
              <w:t xml:space="preserve"> target</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sz w:val="20"/>
              </w:rPr>
              <w:t>LEARNING</w:t>
              <w:br/>
              <w:t>1a: Support both students who need scaffolding and those who have thrived to continue to extend their learning, especially in numeracy</w:t>
              <w:br/>
              <w:br/>
              <w:t>-Increase % Top 2 bands NAPLAN Year 9 in Reading (&gt;5%), Writing (&gt;5%), Numeracy (&gt;5%)</w:t>
              <w:br/>
              <w:t>-Increase % Med to High Learning Growth Year 9 Reading (&gt;22% High Growth), Writing (&gt;15% Growth), Numeracy (&gt;22% High Growth)</w:t>
              <w:br/>
              <w:t>-66% of students at Year 7, Year 8, Year 9 and Year 10 demonstrate at least 12 months growth in Teacher Judgement for Number and Algebra</w:t>
              <w:br/>
              <w:t xml:space="preserve">-AtoSS – Stimulated Learning &gt; 60% Positive Endorsement </w:t>
              <w:br/>
              <w:t>-SSS – Guaranteed and Viable Curriculum &gt; 60% Positive Endorsement</w:t>
              <w:br/>
              <w:t>-VCE Value Add &gt; 0</w:t>
              <w:br/>
              <w:t>-VCE Median Study Score &gt; 26</w:t>
              <w:br/>
              <w:t>-VET Competencies Completion &gt; 80%</w:t>
              <w:br/>
              <w:t>-VCE VM Completion Rate &gt; 90%</w:t>
              <w:br/>
              <w:br/>
              <w:br/>
              <w:t>WELLBEING</w:t>
              <w:br/>
              <w:t>1b: Effectively mobilise available resources to support students wellbeing and mental health, especially the most vulnerable.</w:t>
              <w:br/>
              <w:br/>
              <w:t>- &lt;45% of students absent for &gt;20 days and &lt;30% of students absent for &gt;30 days</w:t>
              <w:br/>
              <w:t xml:space="preserve">- Meet or exceed similar schools AtoSS </w:t>
              <w:br/>
              <w:t>- Student voice and agency and sense of connectedness measures to be above similar schools in each ATOSS</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FFFFFF"/>
            <w:noWrap w:val="0"/>
          </w:tcPr>
          <w:p w:rsidR="00973DEE" w:rsidRPr="002F40EA" w:rsidP="00171379">
            <w:pPr>
              <w:pStyle w:val="Heading3"/>
              <w:spacing w:before="0" w:after="0"/>
              <w:rPr>
                <w:szCs w:val="24"/>
                <w:lang w:val="en-AU"/>
              </w:rPr>
            </w:pPr>
            <w:r w:rsidRPr="002F40EA">
              <w:rPr>
                <w:sz w:val="20"/>
                <w:szCs w:val="24"/>
                <w:lang w:val="en-AU"/>
              </w:rPr>
              <w:t>KIS 1.a</w:t>
            </w:r>
          </w:p>
          <w:p>
            <w:r>
              <w:rPr>
                <w:sz w:val="20"/>
              </w:rPr>
              <w:t>Priority 2023 Dimension</w:t>
            </w:r>
          </w:p>
        </w:tc>
        <w:tc>
          <w:tcPr>
            <w:tcW w:w="11996" w:type="dxa"/>
            <w:gridSpan w:val="5"/>
            <w:shd w:val="clear" w:color="auto" w:fill="FFFFFF"/>
            <w:noWrap w:val="0"/>
          </w:tcPr>
          <w:p w:rsidR="00973DEE" w:rsidRPr="002F40EA" w:rsidP="00FE3D5C">
            <w:pPr>
              <w:pStyle w:val="ESBodyText"/>
              <w:spacing w:after="0"/>
              <w:rPr>
                <w:sz w:val="20"/>
                <w:szCs w:val="24"/>
                <w:lang w:val="en-AU"/>
              </w:rPr>
            </w:pPr>
            <w:r>
              <w:rPr>
                <w:sz w:val="20"/>
              </w:rPr>
              <w:t>Learning - Support both those who need scaffolding and those who have thrived to continue to extend their learning, especially in numeracy</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2F40EA" w:rsidP="00AF3BC2">
            <w:pPr>
              <w:pStyle w:val="ESBodyText"/>
              <w:spacing w:after="0"/>
              <w:rPr>
                <w:b/>
                <w:sz w:val="20"/>
                <w:szCs w:val="24"/>
                <w:lang w:val="en-AU"/>
              </w:rPr>
            </w:pPr>
            <w:r w:rsidRPr="002F40EA">
              <w:rPr>
                <w:b/>
                <w:sz w:val="20"/>
                <w:szCs w:val="24"/>
                <w:lang w:val="en-AU"/>
              </w:rPr>
              <w:t>Actions</w:t>
            </w:r>
          </w:p>
        </w:tc>
        <w:tc>
          <w:tcPr>
            <w:tcW w:w="11996" w:type="dxa"/>
            <w:gridSpan w:val="5"/>
            <w:noWrap w:val="0"/>
          </w:tcPr>
          <w:p w:rsidR="003E1FC6" w:rsidRPr="002F40EA" w:rsidP="00AF3BC2">
            <w:pPr>
              <w:pStyle w:val="ESBodyText"/>
              <w:spacing w:after="0"/>
              <w:rPr>
                <w:sz w:val="20"/>
                <w:szCs w:val="24"/>
                <w:lang w:val="en-AU"/>
              </w:rPr>
            </w:pPr>
            <w:r>
              <w:rPr>
                <w:sz w:val="20"/>
              </w:rPr>
              <w:t>Develop and embed FNEP Numeracy Plan to build staff capacity in Numeracy in order to identify and meet students’ individual learning needs</w:t>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2F40EA" w:rsidP="00AF3BC2">
            <w:pPr>
              <w:pStyle w:val="ESBodyText"/>
              <w:spacing w:after="0"/>
              <w:rPr>
                <w:b/>
                <w:sz w:val="20"/>
                <w:szCs w:val="24"/>
                <w:lang w:val="en-AU"/>
              </w:rPr>
            </w:pPr>
            <w:r w:rsidRPr="002F40EA">
              <w:rPr>
                <w:b/>
                <w:sz w:val="20"/>
                <w:szCs w:val="24"/>
                <w:lang w:val="en-AU"/>
              </w:rPr>
              <w:t>Outcomes</w:t>
            </w:r>
          </w:p>
        </w:tc>
        <w:tc>
          <w:tcPr>
            <w:tcW w:w="11996" w:type="dxa"/>
            <w:gridSpan w:val="5"/>
            <w:noWrap w:val="0"/>
          </w:tcPr>
          <w:p w:rsidR="00973DEE" w:rsidRPr="002F40EA" w:rsidP="00AF3BC2">
            <w:pPr>
              <w:pStyle w:val="ESBodyText"/>
              <w:spacing w:after="0"/>
              <w:rPr>
                <w:sz w:val="20"/>
                <w:szCs w:val="24"/>
                <w:lang w:val="en-AU"/>
              </w:rPr>
            </w:pPr>
            <w:r>
              <w:rPr>
                <w:sz w:val="20"/>
              </w:rPr>
              <w:t>-Students in need of targeted Numeracy academic support or intervention will be identified and supported</w:t>
              <w:br/>
              <w:t xml:space="preserve">-Students will display an increased use of Numeracy-specific vocabulary </w:t>
              <w:br/>
              <w:t>-Teachers will plan for differentiation based on student learning Numeracy data</w:t>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2F40EA" w:rsidP="00AF3BC2">
            <w:pPr>
              <w:pStyle w:val="ESBodyText"/>
              <w:spacing w:after="0"/>
              <w:rPr>
                <w:b/>
                <w:sz w:val="20"/>
                <w:szCs w:val="24"/>
                <w:lang w:val="en-AU"/>
              </w:rPr>
            </w:pPr>
            <w:r w:rsidRPr="002F40EA">
              <w:rPr>
                <w:b/>
                <w:sz w:val="20"/>
                <w:szCs w:val="24"/>
                <w:lang w:val="en-AU"/>
              </w:rPr>
              <w:t>Success Indicators</w:t>
            </w:r>
          </w:p>
        </w:tc>
        <w:tc>
          <w:tcPr>
            <w:tcW w:w="11996" w:type="dxa"/>
            <w:gridSpan w:val="5"/>
            <w:noWrap w:val="0"/>
          </w:tcPr>
          <w:p w:rsidR="00171379" w:rsidRPr="002F40EA" w:rsidP="00AF3BC2">
            <w:pPr>
              <w:pStyle w:val="ESBodyText"/>
              <w:spacing w:after="0"/>
              <w:rPr>
                <w:sz w:val="20"/>
                <w:szCs w:val="24"/>
                <w:lang w:val="en-AU"/>
              </w:rPr>
            </w:pPr>
            <w:r>
              <w:rPr>
                <w:sz w:val="20"/>
              </w:rPr>
              <w:t>-Embed FNEP middle years PLCs (Years 5 to 8), and joint Primary PLCs</w:t>
              <w:br/>
              <w:t xml:space="preserve">-Student IEP’s will describe adjustments to meet their needs, and implementation, monitoring and evaluation will be observed. </w:t>
              <w:br/>
              <w:t>-The percentage of students in the top two NAPLAN bands for Numeracy will increase (FGG Target)</w:t>
              <w:br/>
              <w:t>-75% Medium / High Benchmark Growth  in Year 5 and Year 9 Reading, Writing, and Numeracy (FGG Target)</w:t>
              <w:br/>
              <w:t>-SSS factors: instructional leadership, collective efficacy</w:t>
              <w:br/>
              <w:t>-AtoSS factors: stimulated learning, advocate at school</w:t>
              <w:br/>
              <w:t>-AtoSS Stimulated Learning &gt; 60% Positive Endorsement (FGG Target)</w:t>
              <w:br/>
              <w:t>-SSS Guaranteed and Viable Curriculum &gt; 60% Positive Endorsement (FGG Target)</w:t>
              <w:br/>
              <w:t>-An FNEP assessment schedule will be maintained, including F&amp;P to Year 8</w:t>
              <w:br/>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 xml:space="preserve">People </w:t>
            </w:r>
            <w:r w:rsidRPr="002F40EA" w:rsidR="00802D4E">
              <w:rPr>
                <w:szCs w:val="24"/>
                <w:lang w:val="en-AU"/>
              </w:rPr>
              <w:t>r</w:t>
            </w:r>
            <w:r w:rsidRPr="002F40EA">
              <w:rPr>
                <w:szCs w:val="24"/>
                <w:lang w:val="en-AU"/>
              </w:rPr>
              <w:t>esponsible</w:t>
            </w:r>
          </w:p>
        </w:tc>
        <w:tc>
          <w:tcPr>
            <w:tcW w:w="1530" w:type="dxa"/>
            <w:shd w:val="clear" w:color="auto" w:fill="D9D9D9" w:themeFill="background1" w:themeFillShade="D9"/>
          </w:tcPr>
          <w:p w:rsidR="003E1FC6" w:rsidRPr="002F40EA" w:rsidP="00103446">
            <w:pPr>
              <w:pStyle w:val="Heading3"/>
              <w:spacing w:before="0" w:after="0"/>
              <w:rPr>
                <w:szCs w:val="24"/>
                <w:lang w:val="en-AU"/>
              </w:rPr>
            </w:pPr>
            <w:r w:rsidRPr="002F40EA">
              <w:rPr>
                <w:szCs w:val="24"/>
                <w:lang w:val="en-AU"/>
              </w:rPr>
              <w:t xml:space="preserve">Is this a </w:t>
            </w:r>
            <w:r w:rsidRPr="002F40EA" w:rsidR="00103446">
              <w:rPr>
                <w:szCs w:val="24"/>
                <w:lang w:val="en-AU"/>
              </w:rPr>
              <w:t>PL</w:t>
            </w:r>
            <w:r w:rsidRPr="002F40EA">
              <w:rPr>
                <w:szCs w:val="24"/>
                <w:lang w:val="en-AU"/>
              </w:rPr>
              <w:t xml:space="preserve"> </w:t>
            </w:r>
            <w:r w:rsidRPr="002F40EA" w:rsidR="00802D4E">
              <w:rPr>
                <w:szCs w:val="24"/>
                <w:lang w:val="en-AU"/>
              </w:rPr>
              <w:t>p</w:t>
            </w:r>
            <w:r w:rsidRPr="002F40EA">
              <w:rPr>
                <w:szCs w:val="24"/>
                <w:lang w:val="en-AU"/>
              </w:rPr>
              <w:t>riority</w:t>
            </w:r>
          </w:p>
        </w:tc>
        <w:tc>
          <w:tcPr>
            <w:tcW w:w="207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Activity cost and funding streams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Meeting Schedule enables Joint FNEP PLC Meetings (6 per year)</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Timetable enables PLC meetings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Meeting schedule enables PLC meetings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Planning documents are developed and implemented consistently across PLCs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PLT leaders</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Develop an FNEP Numeracy strategy that supports staff to identify and meet students individual numeracy learning needs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$150,000.00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Review the assessment schedule and embed time for moderation of Numeracy assessment</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3</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Organise FNEP Learning Walks to observe staff practice and collect data on student experiences of Numeracy assessment and differentiation</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3</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FFFFFF"/>
            <w:noWrap w:val="0"/>
          </w:tcPr>
          <w:p w:rsidR="00973DEE" w:rsidRPr="002F40EA" w:rsidP="00171379">
            <w:pPr>
              <w:pStyle w:val="Heading3"/>
              <w:spacing w:before="0" w:after="0"/>
              <w:rPr>
                <w:szCs w:val="24"/>
                <w:lang w:val="en-AU"/>
              </w:rPr>
            </w:pPr>
            <w:r w:rsidRPr="002F40EA">
              <w:rPr>
                <w:sz w:val="20"/>
                <w:szCs w:val="24"/>
                <w:lang w:val="en-AU"/>
              </w:rPr>
              <w:t>KIS 1.b</w:t>
            </w:r>
          </w:p>
          <w:p>
            <w:r>
              <w:rPr>
                <w:sz w:val="20"/>
              </w:rPr>
              <w:t>Priority 2023 Dimension</w:t>
            </w:r>
          </w:p>
        </w:tc>
        <w:tc>
          <w:tcPr>
            <w:tcW w:w="11996" w:type="dxa"/>
            <w:gridSpan w:val="5"/>
            <w:shd w:val="clear" w:color="auto" w:fill="FFFFFF"/>
            <w:noWrap w:val="0"/>
          </w:tcPr>
          <w:p w:rsidR="00973DEE" w:rsidRPr="002F40EA" w:rsidP="00FE3D5C">
            <w:pPr>
              <w:pStyle w:val="ESBodyText"/>
              <w:spacing w:after="0"/>
              <w:rPr>
                <w:sz w:val="20"/>
                <w:szCs w:val="24"/>
                <w:lang w:val="en-AU"/>
              </w:rPr>
            </w:pPr>
            <w:r>
              <w:rPr>
                <w:sz w:val="20"/>
              </w:rPr>
              <w:t>Wellbeing - Effectively mobilise available resources to support students' wellbeing and mental health, especially the most vulnerable</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2F40EA" w:rsidP="00AF3BC2">
            <w:pPr>
              <w:pStyle w:val="ESBodyText"/>
              <w:spacing w:after="0"/>
              <w:rPr>
                <w:b/>
                <w:sz w:val="20"/>
                <w:szCs w:val="24"/>
                <w:lang w:val="en-AU"/>
              </w:rPr>
            </w:pPr>
            <w:r w:rsidRPr="002F40EA">
              <w:rPr>
                <w:b/>
                <w:sz w:val="20"/>
                <w:szCs w:val="24"/>
                <w:lang w:val="en-AU"/>
              </w:rPr>
              <w:t>Actions</w:t>
            </w:r>
          </w:p>
        </w:tc>
        <w:tc>
          <w:tcPr>
            <w:tcW w:w="11996" w:type="dxa"/>
            <w:gridSpan w:val="5"/>
            <w:noWrap w:val="0"/>
          </w:tcPr>
          <w:p w:rsidR="003E1FC6" w:rsidRPr="002F40EA" w:rsidP="00AF3BC2">
            <w:pPr>
              <w:pStyle w:val="ESBodyText"/>
              <w:spacing w:after="0"/>
              <w:rPr>
                <w:sz w:val="20"/>
                <w:szCs w:val="24"/>
                <w:lang w:val="en-AU"/>
              </w:rPr>
            </w:pPr>
            <w:r>
              <w:rPr>
                <w:sz w:val="20"/>
              </w:rPr>
              <w:t>Strengthen the whole school approach towards social and emotional learning, and trauma-informed, positive education</w:t>
              <w:br/>
              <w:br/>
              <w:t>Embed Disability Inclusion Profiling practices to maximise support for the most vulnerable students</w:t>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2F40EA" w:rsidP="00AF3BC2">
            <w:pPr>
              <w:pStyle w:val="ESBodyText"/>
              <w:spacing w:after="0"/>
              <w:rPr>
                <w:b/>
                <w:sz w:val="20"/>
                <w:szCs w:val="24"/>
                <w:lang w:val="en-AU"/>
              </w:rPr>
            </w:pPr>
            <w:r w:rsidRPr="002F40EA">
              <w:rPr>
                <w:b/>
                <w:sz w:val="20"/>
                <w:szCs w:val="24"/>
                <w:lang w:val="en-AU"/>
              </w:rPr>
              <w:t>Outcomes</w:t>
            </w:r>
          </w:p>
        </w:tc>
        <w:tc>
          <w:tcPr>
            <w:tcW w:w="11996" w:type="dxa"/>
            <w:gridSpan w:val="5"/>
            <w:noWrap w:val="0"/>
          </w:tcPr>
          <w:p w:rsidR="00973DEE" w:rsidRPr="002F40EA" w:rsidP="00AF3BC2">
            <w:pPr>
              <w:pStyle w:val="ESBodyText"/>
              <w:spacing w:after="0"/>
              <w:rPr>
                <w:sz w:val="20"/>
                <w:szCs w:val="24"/>
                <w:lang w:val="en-AU"/>
              </w:rPr>
            </w:pPr>
            <w:r>
              <w:rPr>
                <w:sz w:val="20"/>
              </w:rPr>
              <w:t>Establish Trauma-Informed, Positive Education FNEP Working Group</w:t>
              <w:br/>
              <w:br/>
              <w:t>Students will be able to explain what positive mental health means and where they can seek support at school</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2F40EA" w:rsidP="00AF3BC2">
            <w:pPr>
              <w:pStyle w:val="ESBodyText"/>
              <w:spacing w:after="0"/>
              <w:rPr>
                <w:b/>
                <w:sz w:val="20"/>
                <w:szCs w:val="24"/>
                <w:lang w:val="en-AU"/>
              </w:rPr>
            </w:pPr>
            <w:r w:rsidRPr="002F40EA">
              <w:rPr>
                <w:b/>
                <w:sz w:val="20"/>
                <w:szCs w:val="24"/>
                <w:lang w:val="en-AU"/>
              </w:rPr>
              <w:t>Success Indicators</w:t>
            </w:r>
          </w:p>
        </w:tc>
        <w:tc>
          <w:tcPr>
            <w:tcW w:w="11996" w:type="dxa"/>
            <w:gridSpan w:val="5"/>
            <w:noWrap w:val="0"/>
          </w:tcPr>
          <w:p w:rsidR="00171379" w:rsidRPr="002F40EA" w:rsidP="00AF3BC2">
            <w:pPr>
              <w:pStyle w:val="ESBodyText"/>
              <w:spacing w:after="0"/>
              <w:rPr>
                <w:sz w:val="20"/>
                <w:szCs w:val="24"/>
                <w:lang w:val="en-AU"/>
              </w:rPr>
            </w:pPr>
            <w:r>
              <w:rPr>
                <w:sz w:val="20"/>
              </w:rPr>
              <w:t>-Establish FNEP TIPE (Trauma Informed Positive Education)  coaching and feedback model, including 2022 FNEP Learning Walk Checklist development</w:t>
              <w:br/>
              <w:t>-Curriculum documentation will show plans for social and emotional learning ?</w:t>
              <w:br/>
              <w:t>-Notes from learning walks and peer observation will show how staff are embedding social and emotional learning ?</w:t>
              <w:br/>
              <w:t>-Meet or exceed similar schools AtoSS Emotional Factors: Sense of Connectedness, Psychological distress, Resilience and Emotional Awareness and Regulation</w:t>
              <w:br/>
              <w:t>-Meet or exceed similar schools SSS Factors Instructional Leadership, Collective Efficacy and Trust in Colleagues</w:t>
              <w:br/>
              <w:t>- Reduction in chronic absences</w:t>
              <w:br/>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 xml:space="preserve">People </w:t>
            </w:r>
            <w:r w:rsidRPr="002F40EA" w:rsidR="00802D4E">
              <w:rPr>
                <w:szCs w:val="24"/>
                <w:lang w:val="en-AU"/>
              </w:rPr>
              <w:t>r</w:t>
            </w:r>
            <w:r w:rsidRPr="002F40EA">
              <w:rPr>
                <w:szCs w:val="24"/>
                <w:lang w:val="en-AU"/>
              </w:rPr>
              <w:t>esponsible</w:t>
            </w:r>
          </w:p>
        </w:tc>
        <w:tc>
          <w:tcPr>
            <w:tcW w:w="1530" w:type="dxa"/>
            <w:shd w:val="clear" w:color="auto" w:fill="D9D9D9" w:themeFill="background1" w:themeFillShade="D9"/>
          </w:tcPr>
          <w:p w:rsidR="003E1FC6" w:rsidRPr="002F40EA" w:rsidP="00103446">
            <w:pPr>
              <w:pStyle w:val="Heading3"/>
              <w:spacing w:before="0" w:after="0"/>
              <w:rPr>
                <w:szCs w:val="24"/>
                <w:lang w:val="en-AU"/>
              </w:rPr>
            </w:pPr>
            <w:r w:rsidRPr="002F40EA">
              <w:rPr>
                <w:szCs w:val="24"/>
                <w:lang w:val="en-AU"/>
              </w:rPr>
              <w:t xml:space="preserve">Is this a </w:t>
            </w:r>
            <w:r w:rsidRPr="002F40EA" w:rsidR="00103446">
              <w:rPr>
                <w:szCs w:val="24"/>
                <w:lang w:val="en-AU"/>
              </w:rPr>
              <w:t>PL</w:t>
            </w:r>
            <w:r w:rsidRPr="002F40EA">
              <w:rPr>
                <w:szCs w:val="24"/>
                <w:lang w:val="en-AU"/>
              </w:rPr>
              <w:t xml:space="preserve"> </w:t>
            </w:r>
            <w:r w:rsidRPr="002F40EA" w:rsidR="00802D4E">
              <w:rPr>
                <w:szCs w:val="24"/>
                <w:lang w:val="en-AU"/>
              </w:rPr>
              <w:t>p</w:t>
            </w:r>
            <w:r w:rsidRPr="002F40EA">
              <w:rPr>
                <w:szCs w:val="24"/>
                <w:lang w:val="en-AU"/>
              </w:rPr>
              <w:t>riority</w:t>
            </w:r>
          </w:p>
        </w:tc>
        <w:tc>
          <w:tcPr>
            <w:tcW w:w="207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Activity cost and funding streams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 xml:space="preserve">Schedule regular learning walks and peer observation that focus on the social emotional elements of the Personal and Social General Capability </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$150,000.00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Refine FNEP TIPE Learning Walks Checklist</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$150,000.00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Collection and collation of TIPE Learning Walk data</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Within the FNEP TIPE team (Trauma-Informed, Positive Education) investigate professional learning opportunities, including subsequent sessions to determine impact and review actions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Maintain clear referral processes, linked to the disability and inclusion model</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$150,000.00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Disability Inclusion Tier 2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Embed the scope and sequence for the teaching of the Personal and Social General Capability (Respectful Relationships and Strengths based practice)</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 xml:space="preserve">Support student leaders to run student focus groups to seek feedback on the schools’ approach to supporting student mental health. </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Mobilise human resources through equity and Tier 3 funding to support the most vulnerable</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$300,000.00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p>
            <w:r>
              <w:rPr>
                <w:rFonts w:ascii="Wingdings" w:eastAsia="Wingdings" w:hAnsi="Wingdings" w:cs="Wingdings"/>
                <w:color w:val="008000"/>
                <w:sz w:val="24"/>
              </w:rPr>
              <w:sym w:font="Wingdings" w:char="F0FE"/>
            </w:r>
            <w:r>
              <w:rPr>
                <w:rFonts w:ascii="Arial" w:eastAsia="Arial" w:hAnsi="Arial" w:cs="Arial"/>
                <w:color w:val="000000"/>
                <w:sz w:val="20"/>
              </w:rPr>
              <w:t xml:space="preserve"> Disability Inclusion Tier 2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-RAP Routinely monition Early School Leavers Plan with JSPM</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-RAP Engage with regional supports to reduce number of Early School Leavers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-RAP Continue to build staff capacity to use and share data from Students At Risk database</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bl>
    <w:p w:rsidR="006307C3" w:rsidRPr="002F40EA" w:rsidP="006C7A56">
      <w:pPr>
        <w:pStyle w:val="ESBodyText"/>
        <w:rPr>
          <w:lang w:val="en-AU"/>
        </w:rPr>
      </w:pPr>
    </w:p>
    <w:p>
      <w:pPr>
        <w:sectPr w:rsidSect="00E36291">
          <w:headerReference w:type="even" r:id="rId22"/>
          <w:headerReference w:type="default" r:id="rId23"/>
          <w:footerReference w:type="default" r:id="rId24"/>
          <w:headerReference w:type="first" r:id="rId25"/>
          <w:pgSz w:w="16838" w:h="11906" w:orient="landscape" w:code="9"/>
          <w:pgMar w:top="1304" w:right="2036" w:bottom="1240" w:left="810" w:header="624" w:footer="532" w:gutter="0"/>
          <w:pgNumType w:start="2"/>
          <w:cols w:space="397"/>
          <w:docGrid w:linePitch="360"/>
        </w:sectPr>
      </w:pPr>
    </w:p>
    <w:p w:rsidR="006307C3" w:rsidRPr="009B0ADA" w:rsidP="00404526">
      <w:pPr>
        <w:ind w:left="-540" w:right="2759"/>
        <w:rPr>
          <w:b/>
          <w:color w:val="AF272F"/>
          <w:sz w:val="32"/>
          <w:szCs w:val="32"/>
          <w:lang w:val="en-AU"/>
        </w:rPr>
      </w:pPr>
      <w:r w:rsidRPr="009B0ADA">
        <w:rPr>
          <w:b/>
          <w:color w:val="AF272F"/>
          <w:sz w:val="32"/>
          <w:szCs w:val="32"/>
          <w:lang w:val="en-AU"/>
        </w:rPr>
        <w:t xml:space="preserve">Funding </w:t>
      </w:r>
      <w:r w:rsidRPr="009B0ADA" w:rsidR="003D17D7">
        <w:rPr>
          <w:b/>
          <w:color w:val="AF272F"/>
          <w:sz w:val="32"/>
          <w:szCs w:val="32"/>
          <w:lang w:val="en-AU"/>
        </w:rPr>
        <w:t>p</w:t>
      </w:r>
      <w:r w:rsidRPr="009B0ADA">
        <w:rPr>
          <w:b/>
          <w:color w:val="AF272F"/>
          <w:sz w:val="32"/>
          <w:szCs w:val="32"/>
          <w:lang w:val="en-AU"/>
        </w:rPr>
        <w:t xml:space="preserve">lanner </w:t>
      </w:r>
    </w:p>
    <w:p w:rsidR="00DA3296" w:rsidRPr="009B0ADA" w:rsidP="00DA3296">
      <w:pPr>
        <w:pStyle w:val="ESSubheading1"/>
        <w:spacing w:after="120"/>
        <w:rPr>
          <w:lang w:val="en-AU"/>
        </w:rPr>
      </w:pPr>
      <w:bookmarkStart w:id="1" w:name="_Hlk85615081"/>
      <w:r w:rsidRPr="009B0ADA">
        <w:rPr>
          <w:lang w:val="en-AU"/>
        </w:rPr>
        <w:t xml:space="preserve">Summary of </w:t>
      </w:r>
      <w:r w:rsidRPr="009B0ADA" w:rsidR="001E7004">
        <w:rPr>
          <w:lang w:val="en-AU"/>
        </w:rPr>
        <w:t>b</w:t>
      </w:r>
      <w:r w:rsidRPr="009B0ADA">
        <w:rPr>
          <w:lang w:val="en-AU"/>
        </w:rPr>
        <w:t xml:space="preserve">udget and </w:t>
      </w:r>
      <w:r w:rsidRPr="009B0ADA" w:rsidR="001E7004">
        <w:rPr>
          <w:lang w:val="en-AU"/>
        </w:rPr>
        <w:t>a</w:t>
      </w:r>
      <w:r w:rsidRPr="009B0ADA">
        <w:rPr>
          <w:lang w:val="en-AU"/>
        </w:rPr>
        <w:t xml:space="preserve">llocated </w:t>
      </w:r>
      <w:r w:rsidRPr="009B0ADA" w:rsidR="001E7004">
        <w:rPr>
          <w:lang w:val="en-AU"/>
        </w:rPr>
        <w:t>f</w:t>
      </w:r>
      <w:r w:rsidRPr="009B0ADA">
        <w:rPr>
          <w:lang w:val="en-AU"/>
        </w:rPr>
        <w:t>unding</w:t>
      </w:r>
    </w:p>
    <w:tbl>
      <w:tblPr>
        <w:tblStyle w:val="TableGrid"/>
        <w:tblW w:w="15282" w:type="dxa"/>
        <w:tblInd w:w="-545" w:type="dxa"/>
        <w:tblLayout w:type="fixed"/>
        <w:tblCellMar>
          <w:top w:w="57" w:type="dxa"/>
          <w:bottom w:w="57" w:type="dxa"/>
        </w:tblCellMar>
        <w:tblLook w:val="04A0"/>
      </w:tblPr>
      <w:tblGrid>
        <w:gridCol w:w="5927"/>
        <w:gridCol w:w="3118"/>
        <w:gridCol w:w="3544"/>
        <w:gridCol w:w="2693"/>
      </w:tblGrid>
      <w:tr w:rsidTr="00821150">
        <w:tblPrEx>
          <w:tblW w:w="15282" w:type="dxa"/>
          <w:tblInd w:w="-545" w:type="dxa"/>
          <w:tblLayout w:type="fixed"/>
          <w:tblCellMar>
            <w:top w:w="57" w:type="dxa"/>
            <w:bottom w:w="57" w:type="dxa"/>
          </w:tblCellMar>
          <w:tblLook w:val="04A0"/>
        </w:tblPrEx>
        <w:trPr>
          <w:trHeight w:val="318"/>
        </w:trPr>
        <w:tc>
          <w:tcPr>
            <w:tcW w:w="5927" w:type="dxa"/>
            <w:shd w:val="clear" w:color="auto" w:fill="D9D9D9" w:themeFill="background1" w:themeFillShade="D9"/>
          </w:tcPr>
          <w:p w:rsidR="001F61DE" w:rsidRPr="009B0ADA" w:rsidP="001F61DE">
            <w:pPr>
              <w:spacing w:after="0" w:line="240" w:lineRule="auto"/>
              <w:rPr>
                <w:b/>
                <w:sz w:val="20"/>
                <w:szCs w:val="20"/>
                <w:lang w:val="en-AU"/>
              </w:rPr>
            </w:pPr>
            <w:bookmarkStart w:id="2" w:name="_Hlk85615051"/>
            <w:bookmarkEnd w:id="1"/>
            <w:r w:rsidRPr="009B0ADA">
              <w:rPr>
                <w:b/>
                <w:sz w:val="20"/>
                <w:szCs w:val="20"/>
                <w:lang w:val="en-AU"/>
              </w:rPr>
              <w:t xml:space="preserve">Summary of </w:t>
            </w:r>
            <w:r w:rsidRPr="009B0ADA" w:rsidR="00A5640D">
              <w:rPr>
                <w:b/>
                <w:sz w:val="20"/>
                <w:szCs w:val="20"/>
                <w:lang w:val="en-AU"/>
              </w:rPr>
              <w:t>b</w:t>
            </w:r>
            <w:r w:rsidRPr="009B0ADA">
              <w:rPr>
                <w:b/>
                <w:sz w:val="20"/>
                <w:szCs w:val="20"/>
                <w:lang w:val="en-AU"/>
              </w:rPr>
              <w:t>udget</w:t>
            </w:r>
          </w:p>
        </w:tc>
        <w:tc>
          <w:tcPr>
            <w:tcW w:w="3118" w:type="dxa"/>
            <w:shd w:val="clear" w:color="auto" w:fill="D9D9D9" w:themeFill="background1" w:themeFillShade="D9"/>
          </w:tcPr>
          <w:p w:rsidR="001F61DE" w:rsidRPr="009B0ADA" w:rsidP="001F61DE">
            <w:pPr>
              <w:spacing w:after="0" w:line="240" w:lineRule="auto"/>
              <w:rPr>
                <w:b/>
                <w:sz w:val="20"/>
                <w:szCs w:val="20"/>
                <w:lang w:val="en-AU"/>
              </w:rPr>
            </w:pPr>
            <w:r w:rsidRPr="009B0ADA">
              <w:rPr>
                <w:b/>
                <w:sz w:val="20"/>
                <w:szCs w:val="20"/>
                <w:lang w:val="en-AU"/>
              </w:rPr>
              <w:t>School’s total funding</w:t>
            </w:r>
            <w:r w:rsidRPr="009B0ADA" w:rsidR="00747ADA">
              <w:rPr>
                <w:b/>
                <w:sz w:val="20"/>
                <w:szCs w:val="20"/>
                <w:lang w:val="en-AU"/>
              </w:rPr>
              <w:t xml:space="preserve"> ($)</w:t>
            </w:r>
          </w:p>
        </w:tc>
        <w:tc>
          <w:tcPr>
            <w:tcW w:w="3544" w:type="dxa"/>
            <w:shd w:val="clear" w:color="auto" w:fill="D9D9D9" w:themeFill="background1" w:themeFillShade="D9"/>
          </w:tcPr>
          <w:p w:rsidR="001F61DE" w:rsidRPr="009B0ADA" w:rsidP="001F61DE">
            <w:pPr>
              <w:spacing w:after="0" w:line="240" w:lineRule="auto"/>
              <w:rPr>
                <w:b/>
                <w:sz w:val="20"/>
                <w:szCs w:val="20"/>
                <w:lang w:val="en-AU"/>
              </w:rPr>
            </w:pPr>
            <w:r w:rsidRPr="009B0ADA">
              <w:rPr>
                <w:b/>
                <w:sz w:val="20"/>
                <w:szCs w:val="20"/>
                <w:lang w:val="en-AU"/>
              </w:rPr>
              <w:t xml:space="preserve">Funding </w:t>
            </w:r>
            <w:r w:rsidRPr="009B0ADA" w:rsidR="00A5640D">
              <w:rPr>
                <w:b/>
                <w:sz w:val="20"/>
                <w:szCs w:val="20"/>
                <w:lang w:val="en-AU"/>
              </w:rPr>
              <w:t>a</w:t>
            </w:r>
            <w:r w:rsidRPr="009B0ADA">
              <w:rPr>
                <w:b/>
                <w:sz w:val="20"/>
                <w:szCs w:val="20"/>
                <w:lang w:val="en-AU"/>
              </w:rPr>
              <w:t>llocated in activities</w:t>
            </w:r>
            <w:r w:rsidRPr="009B0ADA">
              <w:rPr>
                <w:b/>
                <w:sz w:val="20"/>
                <w:szCs w:val="20"/>
                <w:lang w:val="en-AU"/>
              </w:rPr>
              <w:t xml:space="preserve"> ($)</w:t>
            </w:r>
          </w:p>
        </w:tc>
        <w:tc>
          <w:tcPr>
            <w:tcW w:w="2693" w:type="dxa"/>
            <w:shd w:val="clear" w:color="auto" w:fill="D9D9D9" w:themeFill="background1" w:themeFillShade="D9"/>
          </w:tcPr>
          <w:p w:rsidR="001F61DE" w:rsidRPr="009B0ADA" w:rsidP="001F61DE">
            <w:pPr>
              <w:spacing w:after="0" w:line="240" w:lineRule="auto"/>
              <w:rPr>
                <w:b/>
                <w:sz w:val="20"/>
                <w:szCs w:val="20"/>
                <w:lang w:val="en-AU"/>
              </w:rPr>
            </w:pPr>
            <w:r w:rsidRPr="009B0ADA">
              <w:rPr>
                <w:b/>
                <w:sz w:val="20"/>
                <w:szCs w:val="20"/>
                <w:lang w:val="en-AU"/>
              </w:rPr>
              <w:t>Still available/shortfall</w:t>
            </w:r>
          </w:p>
        </w:tc>
      </w:tr>
      <w:tr w:rsidTr="00821150">
        <w:tblPrEx>
          <w:tblW w:w="15282" w:type="dxa"/>
          <w:tblInd w:w="-545" w:type="dxa"/>
          <w:tblLayout w:type="fixed"/>
          <w:tblCellMar>
            <w:top w:w="57" w:type="dxa"/>
            <w:bottom w:w="57" w:type="dxa"/>
          </w:tblCellMar>
          <w:tblLook w:val="04A0"/>
        </w:tblPrEx>
        <w:trPr>
          <w:trHeight w:val="318"/>
        </w:trPr>
        <w:tc>
          <w:tcPr>
            <w:tcW w:w="5927" w:type="dxa"/>
          </w:tcPr>
          <w:p w:rsidR="001F61DE" w:rsidRPr="009B0ADA" w:rsidP="001F61DE">
            <w:pPr>
              <w:spacing w:after="0" w:line="240" w:lineRule="auto"/>
              <w:rPr>
                <w:sz w:val="20"/>
                <w:szCs w:val="20"/>
                <w:lang w:val="en-AU"/>
              </w:rPr>
            </w:pPr>
            <w:r w:rsidRPr="009B0ADA">
              <w:rPr>
                <w:sz w:val="20"/>
                <w:szCs w:val="20"/>
                <w:lang w:val="en-AU"/>
              </w:rPr>
              <w:t>Equity Funding</w:t>
            </w:r>
          </w:p>
        </w:tc>
        <w:tc>
          <w:tcPr>
            <w:tcW w:w="3118" w:type="dxa"/>
            <w:noWrap w:val="0"/>
          </w:tcPr>
          <w:p w:rsidR="001F61DE" w:rsidRPr="009B0ADA" w:rsidP="001F61DE">
            <w:pPr>
              <w:spacing w:after="0" w:line="240" w:lineRule="auto"/>
              <w:jc w:val="right"/>
              <w:rPr>
                <w:sz w:val="20"/>
                <w:szCs w:val="20"/>
                <w:lang w:val="en-AU"/>
              </w:rPr>
            </w:pPr>
            <w:r>
              <w:rPr>
                <w:sz w:val="20"/>
              </w:rPr>
              <w:t>$929,966.30</w:t>
            </w:r>
          </w:p>
        </w:tc>
        <w:tc>
          <w:tcPr>
            <w:tcW w:w="3544" w:type="dxa"/>
            <w:noWrap w:val="0"/>
          </w:tcPr>
          <w:p w:rsidR="001F61DE" w:rsidRPr="009B0ADA" w:rsidP="001F61DE">
            <w:pPr>
              <w:spacing w:after="0" w:line="240" w:lineRule="auto"/>
              <w:jc w:val="right"/>
              <w:rPr>
                <w:sz w:val="20"/>
                <w:szCs w:val="20"/>
                <w:lang w:val="en-AU"/>
              </w:rPr>
            </w:pPr>
            <w:r>
              <w:rPr>
                <w:sz w:val="20"/>
              </w:rPr>
              <w:t>$600,000.00</w:t>
            </w:r>
          </w:p>
        </w:tc>
        <w:tc>
          <w:tcPr>
            <w:tcW w:w="2693" w:type="dxa"/>
            <w:noWrap w:val="0"/>
          </w:tcPr>
          <w:p w:rsidR="001F61DE" w:rsidRPr="009B0ADA" w:rsidP="001F61DE">
            <w:pPr>
              <w:spacing w:after="0" w:line="240" w:lineRule="auto"/>
              <w:jc w:val="right"/>
              <w:rPr>
                <w:sz w:val="20"/>
                <w:szCs w:val="20"/>
                <w:lang w:val="en-AU"/>
              </w:rPr>
            </w:pPr>
            <w:r>
              <w:rPr>
                <w:sz w:val="20"/>
              </w:rPr>
              <w:t>$329,966.30</w:t>
            </w:r>
          </w:p>
        </w:tc>
      </w:tr>
      <w:tr w:rsidTr="00821150">
        <w:tblPrEx>
          <w:tblW w:w="15282" w:type="dxa"/>
          <w:tblInd w:w="-545" w:type="dxa"/>
          <w:tblLayout w:type="fixed"/>
          <w:tblCellMar>
            <w:top w:w="57" w:type="dxa"/>
            <w:bottom w:w="57" w:type="dxa"/>
          </w:tblCellMar>
          <w:tblLook w:val="04A0"/>
        </w:tblPrEx>
        <w:trPr>
          <w:trHeight w:val="318"/>
        </w:trPr>
        <w:tc>
          <w:tcPr>
            <w:tcW w:w="5927" w:type="dxa"/>
          </w:tcPr>
          <w:p w:rsidR="001F61DE" w:rsidRPr="009B0ADA" w:rsidP="001F61DE">
            <w:pPr>
              <w:spacing w:after="0" w:line="240" w:lineRule="auto"/>
              <w:rPr>
                <w:sz w:val="20"/>
                <w:szCs w:val="20"/>
                <w:lang w:val="en-AU"/>
              </w:rPr>
            </w:pPr>
            <w:r w:rsidRPr="009B0ADA">
              <w:rPr>
                <w:sz w:val="20"/>
                <w:szCs w:val="20"/>
                <w:lang w:val="en-AU"/>
              </w:rPr>
              <w:t>Disability Inclusion Tier 2 Funding</w:t>
            </w:r>
          </w:p>
        </w:tc>
        <w:tc>
          <w:tcPr>
            <w:tcW w:w="3118" w:type="dxa"/>
            <w:noWrap w:val="0"/>
          </w:tcPr>
          <w:p w:rsidR="001F61DE" w:rsidRPr="009B0ADA" w:rsidP="001F61DE">
            <w:pPr>
              <w:spacing w:after="0" w:line="240" w:lineRule="auto"/>
              <w:jc w:val="right"/>
              <w:rPr>
                <w:sz w:val="20"/>
                <w:szCs w:val="20"/>
                <w:lang w:val="en-AU"/>
              </w:rPr>
            </w:pPr>
            <w:r>
              <w:rPr>
                <w:sz w:val="20"/>
              </w:rPr>
              <w:t>$186,436.46</w:t>
            </w:r>
          </w:p>
        </w:tc>
        <w:tc>
          <w:tcPr>
            <w:tcW w:w="3544" w:type="dxa"/>
            <w:noWrap w:val="0"/>
          </w:tcPr>
          <w:p w:rsidR="001F61DE" w:rsidRPr="009B0ADA" w:rsidP="001F61DE">
            <w:pPr>
              <w:spacing w:after="0" w:line="240" w:lineRule="auto"/>
              <w:jc w:val="right"/>
              <w:rPr>
                <w:sz w:val="20"/>
                <w:szCs w:val="20"/>
                <w:lang w:val="en-AU"/>
              </w:rPr>
            </w:pPr>
            <w:r>
              <w:rPr>
                <w:sz w:val="20"/>
              </w:rPr>
              <w:t>$300,000.00</w:t>
            </w:r>
          </w:p>
        </w:tc>
        <w:tc>
          <w:tcPr>
            <w:tcW w:w="2693" w:type="dxa"/>
            <w:noWrap w:val="0"/>
          </w:tcPr>
          <w:p w:rsidR="001F61DE" w:rsidRPr="009B0ADA" w:rsidP="001F61DE">
            <w:pPr>
              <w:spacing w:after="0" w:line="240" w:lineRule="auto"/>
              <w:jc w:val="right"/>
              <w:rPr>
                <w:sz w:val="20"/>
                <w:szCs w:val="20"/>
                <w:lang w:val="en-AU"/>
              </w:rPr>
            </w:pPr>
            <w:r>
              <w:rPr>
                <w:sz w:val="20"/>
              </w:rPr>
              <w:t>-$113,563.54</w:t>
            </w:r>
          </w:p>
        </w:tc>
      </w:tr>
      <w:tr w:rsidTr="00821150">
        <w:tblPrEx>
          <w:tblW w:w="15282" w:type="dxa"/>
          <w:tblInd w:w="-545" w:type="dxa"/>
          <w:tblLayout w:type="fixed"/>
          <w:tblCellMar>
            <w:top w:w="57" w:type="dxa"/>
            <w:bottom w:w="57" w:type="dxa"/>
          </w:tblCellMar>
          <w:tblLook w:val="04A0"/>
        </w:tblPrEx>
        <w:trPr>
          <w:trHeight w:val="318"/>
        </w:trPr>
        <w:tc>
          <w:tcPr>
            <w:tcW w:w="5927" w:type="dxa"/>
          </w:tcPr>
          <w:p w:rsidR="00821150" w:rsidRPr="009B0ADA" w:rsidP="001F61DE">
            <w:pPr>
              <w:spacing w:after="0" w:line="240" w:lineRule="auto"/>
              <w:rPr>
                <w:sz w:val="20"/>
                <w:szCs w:val="20"/>
                <w:lang w:val="en-AU"/>
              </w:rPr>
            </w:pPr>
            <w:r w:rsidRPr="009B0ADA">
              <w:rPr>
                <w:sz w:val="20"/>
                <w:szCs w:val="20"/>
                <w:lang w:val="en-AU"/>
              </w:rPr>
              <w:t>Schools Mental Health Fund and Menu</w:t>
            </w:r>
          </w:p>
        </w:tc>
        <w:tc>
          <w:tcPr>
            <w:tcW w:w="3118" w:type="dxa"/>
            <w:noWrap w:val="0"/>
          </w:tcPr>
          <w:p w:rsidR="00821150" w:rsidRPr="009B0ADA" w:rsidP="001F61DE">
            <w:pPr>
              <w:spacing w:after="0" w:line="240" w:lineRule="auto"/>
              <w:jc w:val="right"/>
              <w:rPr>
                <w:sz w:val="20"/>
                <w:szCs w:val="20"/>
                <w:lang w:val="en-AU"/>
              </w:rPr>
            </w:pPr>
            <w:r>
              <w:rPr>
                <w:sz w:val="20"/>
              </w:rPr>
              <w:t>$0.00</w:t>
            </w:r>
          </w:p>
        </w:tc>
        <w:tc>
          <w:tcPr>
            <w:tcW w:w="3544" w:type="dxa"/>
            <w:noWrap w:val="0"/>
          </w:tcPr>
          <w:p w:rsidR="00821150" w:rsidRPr="009B0ADA" w:rsidP="001F61DE">
            <w:pPr>
              <w:spacing w:after="0" w:line="240" w:lineRule="auto"/>
              <w:jc w:val="right"/>
              <w:rPr>
                <w:sz w:val="20"/>
                <w:szCs w:val="20"/>
                <w:lang w:val="en-AU"/>
              </w:rPr>
            </w:pPr>
            <w:r>
              <w:rPr>
                <w:sz w:val="20"/>
              </w:rPr>
              <w:t>$0.00</w:t>
            </w:r>
          </w:p>
        </w:tc>
        <w:tc>
          <w:tcPr>
            <w:tcW w:w="2693" w:type="dxa"/>
            <w:noWrap w:val="0"/>
          </w:tcPr>
          <w:p w:rsidR="00821150" w:rsidRPr="009B0ADA" w:rsidP="001F61DE">
            <w:pPr>
              <w:spacing w:after="0" w:line="240" w:lineRule="auto"/>
              <w:jc w:val="right"/>
              <w:rPr>
                <w:sz w:val="20"/>
                <w:szCs w:val="20"/>
                <w:lang w:val="en-AU"/>
              </w:rPr>
            </w:pPr>
            <w:r>
              <w:rPr>
                <w:sz w:val="20"/>
              </w:rPr>
              <w:t>$0.00</w:t>
            </w:r>
          </w:p>
        </w:tc>
      </w:tr>
      <w:tr w:rsidTr="00821150">
        <w:tblPrEx>
          <w:tblW w:w="15282" w:type="dxa"/>
          <w:tblInd w:w="-545" w:type="dxa"/>
          <w:tblLayout w:type="fixed"/>
          <w:tblCellMar>
            <w:top w:w="57" w:type="dxa"/>
            <w:bottom w:w="57" w:type="dxa"/>
          </w:tblCellMar>
          <w:tblLook w:val="04A0"/>
        </w:tblPrEx>
        <w:trPr>
          <w:trHeight w:val="318"/>
        </w:trPr>
        <w:tc>
          <w:tcPr>
            <w:tcW w:w="5927" w:type="dxa"/>
            <w:shd w:val="clear" w:color="auto" w:fill="BFBFBF" w:themeFill="background1" w:themeFillShade="BF"/>
          </w:tcPr>
          <w:p w:rsidR="001F61DE" w:rsidRPr="009B0ADA" w:rsidP="001F61DE">
            <w:pPr>
              <w:spacing w:after="0" w:line="240" w:lineRule="auto"/>
              <w:rPr>
                <w:b/>
                <w:sz w:val="20"/>
                <w:szCs w:val="20"/>
                <w:lang w:val="en-AU"/>
              </w:rPr>
            </w:pPr>
            <w:r w:rsidRPr="009B0ADA">
              <w:rPr>
                <w:b/>
                <w:sz w:val="20"/>
                <w:szCs w:val="20"/>
                <w:lang w:val="en-AU"/>
              </w:rPr>
              <w:t>Total</w:t>
            </w:r>
          </w:p>
        </w:tc>
        <w:tc>
          <w:tcPr>
            <w:tcW w:w="3118" w:type="dxa"/>
            <w:shd w:val="clear" w:color="auto" w:fill="BFBFBF" w:themeFill="background1" w:themeFillShade="BF"/>
            <w:noWrap w:val="0"/>
          </w:tcPr>
          <w:p w:rsidR="001F61DE" w:rsidRPr="009B0ADA" w:rsidP="001F61DE">
            <w:pPr>
              <w:spacing w:after="0" w:line="240" w:lineRule="auto"/>
              <w:jc w:val="right"/>
              <w:rPr>
                <w:sz w:val="20"/>
                <w:szCs w:val="20"/>
                <w:lang w:val="en-AU"/>
              </w:rPr>
            </w:pPr>
            <w:r>
              <w:rPr>
                <w:sz w:val="20"/>
              </w:rPr>
              <w:t>$1,116,402.76</w:t>
            </w:r>
          </w:p>
        </w:tc>
        <w:tc>
          <w:tcPr>
            <w:tcW w:w="3544" w:type="dxa"/>
            <w:shd w:val="clear" w:color="auto" w:fill="BFBFBF" w:themeFill="background1" w:themeFillShade="BF"/>
            <w:noWrap w:val="0"/>
          </w:tcPr>
          <w:p w:rsidR="001F61DE" w:rsidRPr="009B0ADA" w:rsidP="001F61DE">
            <w:pPr>
              <w:spacing w:after="0" w:line="240" w:lineRule="auto"/>
              <w:jc w:val="right"/>
              <w:rPr>
                <w:sz w:val="20"/>
                <w:szCs w:val="20"/>
                <w:lang w:val="en-AU"/>
              </w:rPr>
            </w:pPr>
            <w:r>
              <w:rPr>
                <w:sz w:val="20"/>
              </w:rPr>
              <w:t>$900,000.00</w:t>
            </w:r>
          </w:p>
        </w:tc>
        <w:tc>
          <w:tcPr>
            <w:tcW w:w="2693" w:type="dxa"/>
            <w:shd w:val="clear" w:color="auto" w:fill="BFBFBF" w:themeFill="background1" w:themeFillShade="BF"/>
            <w:noWrap w:val="0"/>
          </w:tcPr>
          <w:p w:rsidR="001F61DE" w:rsidRPr="009B0ADA" w:rsidP="001F61DE">
            <w:pPr>
              <w:spacing w:after="0" w:line="240" w:lineRule="auto"/>
              <w:jc w:val="right"/>
              <w:rPr>
                <w:sz w:val="20"/>
                <w:szCs w:val="20"/>
                <w:lang w:val="en-AU"/>
              </w:rPr>
            </w:pPr>
            <w:r>
              <w:rPr>
                <w:sz w:val="20"/>
              </w:rPr>
              <w:t>$216,402.76</w:t>
            </w:r>
          </w:p>
        </w:tc>
      </w:tr>
    </w:tbl>
    <w:p w:rsidR="00F5461B" w:rsidRPr="009B0ADA" w:rsidP="007B0A9A">
      <w:pPr>
        <w:spacing w:after="0" w:line="240" w:lineRule="auto"/>
        <w:rPr>
          <w:sz w:val="20"/>
          <w:szCs w:val="20"/>
          <w:lang w:val="en-AU"/>
        </w:rPr>
      </w:pPr>
      <w:bookmarkEnd w:id="2"/>
    </w:p>
    <w:p w:rsidR="003B58DD" w:rsidRPr="009B0ADA" w:rsidP="005B5A46">
      <w:pPr>
        <w:pStyle w:val="ESSubheading1"/>
        <w:spacing w:after="120"/>
        <w:ind w:left="0"/>
        <w:rPr>
          <w:lang w:val="en-AU"/>
        </w:rPr>
      </w:pPr>
    </w:p>
    <w:p w:rsidR="00E53DD0" w:rsidRPr="009B0ADA" w:rsidP="00E53DD0">
      <w:pPr>
        <w:pStyle w:val="ESSubheading1"/>
        <w:spacing w:after="120"/>
        <w:rPr>
          <w:lang w:val="en-AU"/>
        </w:rPr>
      </w:pPr>
      <w:r w:rsidRPr="009B0ADA">
        <w:rPr>
          <w:lang w:val="en-AU"/>
        </w:rPr>
        <w:t xml:space="preserve">Activities and </w:t>
      </w:r>
      <w:r w:rsidRPr="009B0ADA" w:rsidR="006058A8">
        <w:rPr>
          <w:lang w:val="en-AU"/>
        </w:rPr>
        <w:t>m</w:t>
      </w:r>
      <w:r w:rsidRPr="009B0ADA">
        <w:rPr>
          <w:lang w:val="en-AU"/>
        </w:rPr>
        <w:t>ilestones</w:t>
      </w:r>
      <w:r w:rsidRPr="009B0ADA" w:rsidR="005B5A46">
        <w:rPr>
          <w:lang w:val="en-AU"/>
        </w:rPr>
        <w:t xml:space="preserve"> – Total Budget</w:t>
      </w:r>
    </w:p>
    <w:tbl>
      <w:tblPr>
        <w:tblStyle w:val="TableGrid"/>
        <w:tblW w:w="9612" w:type="dxa"/>
        <w:tblInd w:w="-545" w:type="dxa"/>
        <w:tblLayout w:type="fixed"/>
        <w:tblCellMar>
          <w:top w:w="57" w:type="dxa"/>
          <w:bottom w:w="57" w:type="dxa"/>
        </w:tblCellMar>
        <w:tblLook w:val="04A0"/>
      </w:tblPr>
      <w:tblGrid>
        <w:gridCol w:w="5502"/>
        <w:gridCol w:w="4110"/>
      </w:tblGrid>
      <w:tr w:rsidTr="005B5A46">
        <w:tblPrEx>
          <w:tblW w:w="9612" w:type="dxa"/>
          <w:tblInd w:w="-545" w:type="dxa"/>
          <w:tblLayout w:type="fixed"/>
          <w:tblCellMar>
            <w:top w:w="57" w:type="dxa"/>
            <w:bottom w:w="57" w:type="dxa"/>
          </w:tblCellMar>
          <w:tblLook w:val="04A0"/>
        </w:tblPrEx>
        <w:trPr>
          <w:trHeight w:val="296"/>
        </w:trPr>
        <w:tc>
          <w:tcPr>
            <w:tcW w:w="550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4110"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Budget</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9B0ADA" w:rsidP="00576519">
            <w:pPr>
              <w:spacing w:after="0" w:line="240" w:lineRule="auto"/>
              <w:rPr>
                <w:sz w:val="20"/>
                <w:szCs w:val="24"/>
                <w:lang w:val="en-AU"/>
              </w:rPr>
            </w:pPr>
            <w:r>
              <w:rPr>
                <w:sz w:val="20"/>
              </w:rPr>
              <w:t>Develop an FNEP Numeracy strategy that supports staff to identify and meet students individual numeracy learning needs</w:t>
            </w:r>
          </w:p>
        </w:tc>
        <w:tc>
          <w:tcPr>
            <w:tcW w:w="4110" w:type="dxa"/>
            <w:noWrap w:val="0"/>
          </w:tcPr>
          <w:p w:rsidR="005B5A46" w:rsidRPr="009B0ADA" w:rsidP="00576519">
            <w:pPr>
              <w:spacing w:after="0" w:line="240" w:lineRule="auto"/>
              <w:jc w:val="right"/>
              <w:rPr>
                <w:sz w:val="20"/>
                <w:szCs w:val="24"/>
                <w:lang w:val="en-AU"/>
              </w:rPr>
            </w:pPr>
            <w:r>
              <w:rPr>
                <w:sz w:val="20"/>
              </w:rPr>
              <w:t>$150,000.00</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9B0ADA" w:rsidP="00576519">
            <w:pPr>
              <w:spacing w:after="0" w:line="240" w:lineRule="auto"/>
              <w:rPr>
                <w:sz w:val="20"/>
                <w:szCs w:val="24"/>
                <w:lang w:val="en-AU"/>
              </w:rPr>
            </w:pPr>
            <w:r>
              <w:rPr>
                <w:sz w:val="20"/>
              </w:rPr>
              <w:t xml:space="preserve">Schedule regular learning walks and peer observation that focus on the social emotional elements of the Personal and Social General Capability </w:t>
            </w:r>
          </w:p>
        </w:tc>
        <w:tc>
          <w:tcPr>
            <w:tcW w:w="4110" w:type="dxa"/>
            <w:noWrap w:val="0"/>
          </w:tcPr>
          <w:p w:rsidR="005B5A46" w:rsidRPr="009B0ADA" w:rsidP="00576519">
            <w:pPr>
              <w:spacing w:after="0" w:line="240" w:lineRule="auto"/>
              <w:jc w:val="right"/>
              <w:rPr>
                <w:sz w:val="20"/>
                <w:szCs w:val="24"/>
                <w:lang w:val="en-AU"/>
              </w:rPr>
            </w:pPr>
            <w:r>
              <w:rPr>
                <w:sz w:val="20"/>
              </w:rPr>
              <w:t>$150,000.00</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9B0ADA" w:rsidP="00576519">
            <w:pPr>
              <w:spacing w:after="0" w:line="240" w:lineRule="auto"/>
              <w:rPr>
                <w:sz w:val="20"/>
                <w:szCs w:val="24"/>
                <w:lang w:val="en-AU"/>
              </w:rPr>
            </w:pPr>
            <w:r>
              <w:rPr>
                <w:sz w:val="20"/>
              </w:rPr>
              <w:t>Refine FNEP TIPE Learning Walks Checklist</w:t>
            </w:r>
          </w:p>
        </w:tc>
        <w:tc>
          <w:tcPr>
            <w:tcW w:w="4110" w:type="dxa"/>
            <w:noWrap w:val="0"/>
          </w:tcPr>
          <w:p w:rsidR="005B5A46" w:rsidRPr="009B0ADA" w:rsidP="00576519">
            <w:pPr>
              <w:spacing w:after="0" w:line="240" w:lineRule="auto"/>
              <w:jc w:val="right"/>
              <w:rPr>
                <w:sz w:val="20"/>
                <w:szCs w:val="24"/>
                <w:lang w:val="en-AU"/>
              </w:rPr>
            </w:pPr>
            <w:r>
              <w:rPr>
                <w:sz w:val="20"/>
              </w:rPr>
              <w:t>$150,000.00</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9B0ADA" w:rsidP="00576519">
            <w:pPr>
              <w:spacing w:after="0" w:line="240" w:lineRule="auto"/>
              <w:rPr>
                <w:sz w:val="20"/>
                <w:szCs w:val="24"/>
                <w:lang w:val="en-AU"/>
              </w:rPr>
            </w:pPr>
            <w:r>
              <w:rPr>
                <w:sz w:val="20"/>
              </w:rPr>
              <w:t>Maintain clear referral processes, linked to the disability and inclusion model</w:t>
            </w:r>
          </w:p>
        </w:tc>
        <w:tc>
          <w:tcPr>
            <w:tcW w:w="4110" w:type="dxa"/>
            <w:noWrap w:val="0"/>
          </w:tcPr>
          <w:p w:rsidR="005B5A46" w:rsidRPr="009B0ADA" w:rsidP="00576519">
            <w:pPr>
              <w:spacing w:after="0" w:line="240" w:lineRule="auto"/>
              <w:jc w:val="right"/>
              <w:rPr>
                <w:sz w:val="20"/>
                <w:szCs w:val="24"/>
                <w:lang w:val="en-AU"/>
              </w:rPr>
            </w:pPr>
            <w:r>
              <w:rPr>
                <w:sz w:val="20"/>
              </w:rPr>
              <w:t>$150,000.00</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9B0ADA" w:rsidP="00576519">
            <w:pPr>
              <w:spacing w:after="0" w:line="240" w:lineRule="auto"/>
              <w:rPr>
                <w:sz w:val="20"/>
                <w:szCs w:val="24"/>
                <w:lang w:val="en-AU"/>
              </w:rPr>
            </w:pPr>
            <w:r>
              <w:rPr>
                <w:sz w:val="20"/>
              </w:rPr>
              <w:t>Mobilise human resources through equity and Tier 3 funding to support the most vulnerable</w:t>
            </w:r>
          </w:p>
        </w:tc>
        <w:tc>
          <w:tcPr>
            <w:tcW w:w="4110" w:type="dxa"/>
            <w:noWrap w:val="0"/>
          </w:tcPr>
          <w:p w:rsidR="005B5A46" w:rsidRPr="009B0ADA" w:rsidP="00576519">
            <w:pPr>
              <w:spacing w:after="0" w:line="240" w:lineRule="auto"/>
              <w:jc w:val="right"/>
              <w:rPr>
                <w:sz w:val="20"/>
                <w:szCs w:val="24"/>
                <w:lang w:val="en-AU"/>
              </w:rPr>
            </w:pPr>
            <w:r>
              <w:rPr>
                <w:sz w:val="20"/>
              </w:rPr>
              <w:t>$300,000.00</w:t>
            </w:r>
          </w:p>
        </w:tc>
      </w:tr>
      <w:tr w:rsidTr="005B5A46">
        <w:tblPrEx>
          <w:tblW w:w="9612" w:type="dxa"/>
          <w:tblInd w:w="-545" w:type="dxa"/>
          <w:tblLayout w:type="fixed"/>
          <w:tblCellMar>
            <w:top w:w="57" w:type="dxa"/>
            <w:bottom w:w="57" w:type="dxa"/>
          </w:tblCellMar>
          <w:tblLook w:val="04A0"/>
        </w:tblPrEx>
        <w:trPr>
          <w:trHeight w:val="332"/>
        </w:trPr>
        <w:tc>
          <w:tcPr>
            <w:tcW w:w="5502"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sz w:val="20"/>
              </w:rPr>
              <w:t>$900,000.00</w:t>
            </w:r>
          </w:p>
        </w:tc>
      </w:tr>
    </w:tbl>
    <w:p w:rsidR="005B5A46" w:rsidRPr="009B0ADA" w:rsidP="005B5A46">
      <w:pPr>
        <w:pStyle w:val="ESSubheading1"/>
        <w:spacing w:after="120"/>
        <w:ind w:left="0"/>
        <w:rPr>
          <w:lang w:val="en-AU"/>
        </w:rPr>
      </w:pPr>
    </w:p>
    <w:p w:rsidR="005B5A46" w:rsidRPr="009B0ADA" w:rsidP="005B5A46">
      <w:pPr>
        <w:pStyle w:val="ESSubheading1"/>
        <w:spacing w:after="120"/>
        <w:ind w:left="0"/>
        <w:rPr>
          <w:lang w:val="en-AU"/>
        </w:rPr>
      </w:pPr>
    </w:p>
    <w:p w:rsidR="00E53DD0" w:rsidRPr="009B0ADA" w:rsidP="005B5A46">
      <w:pPr>
        <w:pStyle w:val="ESSubheading1"/>
        <w:spacing w:after="120"/>
        <w:rPr>
          <w:lang w:val="en-AU"/>
        </w:rPr>
      </w:pPr>
      <w:bookmarkStart w:id="3" w:name="_Hlk85615101"/>
      <w:r w:rsidRPr="009B0ADA">
        <w:rPr>
          <w:lang w:val="en-AU"/>
        </w:rPr>
        <w:t xml:space="preserve">Activities and </w:t>
      </w:r>
      <w:r w:rsidRPr="009B0ADA" w:rsidR="006058A8">
        <w:rPr>
          <w:lang w:val="en-AU"/>
        </w:rPr>
        <w:t>m</w:t>
      </w:r>
      <w:r w:rsidRPr="009B0ADA">
        <w:rPr>
          <w:lang w:val="en-AU"/>
        </w:rPr>
        <w:t xml:space="preserve">ilestones - </w:t>
      </w:r>
      <w:r w:rsidRPr="009B0ADA">
        <w:rPr>
          <w:lang w:val="en-AU"/>
        </w:rPr>
        <w:t>Equity Funding</w:t>
      </w:r>
    </w:p>
    <w:tbl>
      <w:tblPr>
        <w:tblStyle w:val="TableGrid"/>
        <w:tblW w:w="15141" w:type="dxa"/>
        <w:tblInd w:w="-545" w:type="dxa"/>
        <w:tblLayout w:type="fixed"/>
        <w:tblCellMar>
          <w:top w:w="57" w:type="dxa"/>
          <w:bottom w:w="57" w:type="dxa"/>
        </w:tblCellMar>
        <w:tblLook w:val="04A0"/>
      </w:tblPr>
      <w:tblGrid>
        <w:gridCol w:w="3375"/>
        <w:gridCol w:w="1984"/>
        <w:gridCol w:w="2268"/>
        <w:gridCol w:w="7514"/>
      </w:tblGrid>
      <w:tr w:rsidTr="005B5A46">
        <w:tblPrEx>
          <w:tblW w:w="15141"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F5461B">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F5461B">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F5461B">
            <w:pPr>
              <w:spacing w:after="0" w:line="240" w:lineRule="auto"/>
              <w:rPr>
                <w:b/>
                <w:sz w:val="20"/>
                <w:szCs w:val="20"/>
                <w:lang w:val="en-AU"/>
              </w:rPr>
            </w:pPr>
            <w:r w:rsidRPr="009B0ADA">
              <w:rPr>
                <w:b/>
                <w:sz w:val="20"/>
                <w:szCs w:val="20"/>
                <w:lang w:val="en-AU"/>
              </w:rPr>
              <w:t>Funding allocated ($)</w:t>
            </w:r>
          </w:p>
        </w:tc>
        <w:tc>
          <w:tcPr>
            <w:tcW w:w="7514" w:type="dxa"/>
            <w:shd w:val="clear" w:color="auto" w:fill="D9D9D9" w:themeFill="background1" w:themeFillShade="D9"/>
          </w:tcPr>
          <w:p w:rsidR="005B5A46" w:rsidRPr="009B0ADA" w:rsidP="00F5461B">
            <w:pPr>
              <w:spacing w:after="0" w:line="240" w:lineRule="auto"/>
              <w:rPr>
                <w:b/>
                <w:sz w:val="20"/>
                <w:szCs w:val="20"/>
                <w:lang w:val="en-AU"/>
              </w:rPr>
            </w:pPr>
            <w:r w:rsidRPr="009B0ADA">
              <w:rPr>
                <w:b/>
                <w:sz w:val="20"/>
                <w:szCs w:val="20"/>
                <w:lang w:val="en-AU"/>
              </w:rPr>
              <w:t>Category</w:t>
            </w:r>
          </w:p>
        </w:tc>
      </w:tr>
      <w:tr w:rsidTr="005B5A46">
        <w:tblPrEx>
          <w:tblW w:w="15141" w:type="dxa"/>
          <w:tblInd w:w="-545" w:type="dxa"/>
          <w:tblLayout w:type="fixed"/>
          <w:tblCellMar>
            <w:top w:w="57" w:type="dxa"/>
            <w:bottom w:w="57" w:type="dxa"/>
          </w:tblCellMar>
          <w:tblLook w:val="04A0"/>
        </w:tblPrEx>
        <w:trPr>
          <w:trHeight w:val="296"/>
        </w:trPr>
        <w:tc>
          <w:tcPr>
            <w:tcW w:w="3375" w:type="dxa"/>
            <w:noWrap w:val="0"/>
          </w:tcPr>
          <w:p w:rsidR="005B5A46" w:rsidRPr="009B0ADA" w:rsidP="00F5461B">
            <w:pPr>
              <w:spacing w:after="0" w:line="240" w:lineRule="auto"/>
              <w:rPr>
                <w:sz w:val="20"/>
                <w:szCs w:val="24"/>
                <w:lang w:val="en-AU"/>
              </w:rPr>
            </w:pPr>
            <w:r>
              <w:rPr>
                <w:sz w:val="20"/>
              </w:rPr>
              <w:t>Develop an FNEP Numeracy strategy that supports staff to identify and meet students individual numeracy learning needs</w:t>
            </w:r>
          </w:p>
        </w:tc>
        <w:tc>
          <w:tcPr>
            <w:tcW w:w="1984" w:type="dxa"/>
            <w:noWrap w:val="0"/>
          </w:tcPr>
          <w:p w:rsidR="005B5A46" w:rsidRPr="009B0ADA" w:rsidP="00F5461B">
            <w:pPr>
              <w:spacing w:after="0" w:line="240" w:lineRule="auto"/>
              <w:rPr>
                <w:sz w:val="20"/>
                <w:szCs w:val="24"/>
                <w:lang w:val="en-AU"/>
              </w:rPr>
            </w:pPr>
            <w:r>
              <w:rPr>
                <w:sz w:val="20"/>
              </w:rPr>
              <w:t>from:</w:t>
              <w:br/>
              <w:t>Term 1</w:t>
            </w:r>
          </w:p>
          <w:p>
            <w:r>
              <w:rPr>
                <w:sz w:val="20"/>
              </w:rPr>
              <w:t>to:</w:t>
              <w:br/>
              <w:t>Term 4</w:t>
            </w:r>
          </w:p>
        </w:tc>
        <w:tc>
          <w:tcPr>
            <w:tcW w:w="2268" w:type="dxa"/>
            <w:noWrap w:val="0"/>
          </w:tcPr>
          <w:p w:rsidR="005B5A46" w:rsidRPr="009B0ADA" w:rsidP="00F5461B">
            <w:pPr>
              <w:spacing w:after="0" w:line="240" w:lineRule="auto"/>
              <w:jc w:val="right"/>
              <w:rPr>
                <w:sz w:val="20"/>
                <w:szCs w:val="24"/>
                <w:lang w:val="en-AU"/>
              </w:rPr>
            </w:pPr>
            <w:r>
              <w:rPr>
                <w:sz w:val="20"/>
              </w:rPr>
              <w:t>$150,000.00</w:t>
            </w:r>
          </w:p>
        </w:tc>
        <w:tc>
          <w:tcPr>
            <w:tcW w:w="7514" w:type="dxa"/>
          </w:tcPr>
          <w:p w:rsidR="005B5A46" w:rsidRPr="009B0ADA" w:rsidP="00F5461B">
            <w:pPr>
              <w:spacing w:after="0" w:line="240" w:lineRule="auto"/>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School-based staffing</w:t>
            </w:r>
          </w:p>
        </w:tc>
      </w:tr>
      <w:tr w:rsidTr="005B5A46">
        <w:tblPrEx>
          <w:tblW w:w="15141" w:type="dxa"/>
          <w:tblInd w:w="-545" w:type="dxa"/>
          <w:tblLayout w:type="fixed"/>
          <w:tblCellMar>
            <w:top w:w="57" w:type="dxa"/>
            <w:bottom w:w="57" w:type="dxa"/>
          </w:tblCellMar>
          <w:tblLook w:val="04A0"/>
        </w:tblPrEx>
        <w:trPr>
          <w:trHeight w:val="296"/>
        </w:trPr>
        <w:tc>
          <w:tcPr>
            <w:tcW w:w="3375" w:type="dxa"/>
            <w:noWrap w:val="0"/>
          </w:tcPr>
          <w:p w:rsidR="005B5A46" w:rsidRPr="009B0ADA" w:rsidP="00F5461B">
            <w:pPr>
              <w:spacing w:after="0" w:line="240" w:lineRule="auto"/>
              <w:rPr>
                <w:sz w:val="20"/>
                <w:szCs w:val="24"/>
                <w:lang w:val="en-AU"/>
              </w:rPr>
            </w:pPr>
            <w:r>
              <w:rPr>
                <w:sz w:val="20"/>
              </w:rPr>
              <w:t xml:space="preserve">Schedule regular learning walks and peer observation that focus on the social emotional elements of the Personal and Social General Capability </w:t>
            </w:r>
          </w:p>
        </w:tc>
        <w:tc>
          <w:tcPr>
            <w:tcW w:w="1984" w:type="dxa"/>
            <w:noWrap w:val="0"/>
          </w:tcPr>
          <w:p w:rsidR="005B5A46" w:rsidRPr="009B0ADA" w:rsidP="00F5461B">
            <w:pPr>
              <w:spacing w:after="0" w:line="240" w:lineRule="auto"/>
              <w:rPr>
                <w:sz w:val="20"/>
                <w:szCs w:val="24"/>
                <w:lang w:val="en-AU"/>
              </w:rPr>
            </w:pPr>
            <w:r>
              <w:rPr>
                <w:sz w:val="20"/>
              </w:rPr>
              <w:t>from:</w:t>
              <w:br/>
              <w:t>Term 1</w:t>
            </w:r>
          </w:p>
          <w:p>
            <w:r>
              <w:rPr>
                <w:sz w:val="20"/>
              </w:rPr>
              <w:t>to:</w:t>
              <w:br/>
              <w:t>Term 4</w:t>
            </w:r>
          </w:p>
        </w:tc>
        <w:tc>
          <w:tcPr>
            <w:tcW w:w="2268" w:type="dxa"/>
            <w:noWrap w:val="0"/>
          </w:tcPr>
          <w:p w:rsidR="005B5A46" w:rsidRPr="009B0ADA" w:rsidP="00F5461B">
            <w:pPr>
              <w:spacing w:after="0" w:line="240" w:lineRule="auto"/>
              <w:jc w:val="right"/>
              <w:rPr>
                <w:sz w:val="20"/>
                <w:szCs w:val="24"/>
                <w:lang w:val="en-AU"/>
              </w:rPr>
            </w:pPr>
            <w:r>
              <w:rPr>
                <w:sz w:val="20"/>
              </w:rPr>
              <w:t>$150,000.00</w:t>
            </w:r>
          </w:p>
        </w:tc>
        <w:tc>
          <w:tcPr>
            <w:tcW w:w="7514" w:type="dxa"/>
          </w:tcPr>
          <w:p w:rsidR="005B5A46" w:rsidRPr="009B0ADA" w:rsidP="00F5461B">
            <w:pPr>
              <w:spacing w:after="0" w:line="240" w:lineRule="auto"/>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School-based staffing</w:t>
            </w:r>
          </w:p>
        </w:tc>
      </w:tr>
      <w:tr w:rsidTr="005B5A46">
        <w:tblPrEx>
          <w:tblW w:w="15141" w:type="dxa"/>
          <w:tblInd w:w="-545" w:type="dxa"/>
          <w:tblLayout w:type="fixed"/>
          <w:tblCellMar>
            <w:top w:w="57" w:type="dxa"/>
            <w:bottom w:w="57" w:type="dxa"/>
          </w:tblCellMar>
          <w:tblLook w:val="04A0"/>
        </w:tblPrEx>
        <w:trPr>
          <w:trHeight w:val="296"/>
        </w:trPr>
        <w:tc>
          <w:tcPr>
            <w:tcW w:w="3375" w:type="dxa"/>
            <w:noWrap w:val="0"/>
          </w:tcPr>
          <w:p w:rsidR="005B5A46" w:rsidRPr="009B0ADA" w:rsidP="00F5461B">
            <w:pPr>
              <w:spacing w:after="0" w:line="240" w:lineRule="auto"/>
              <w:rPr>
                <w:sz w:val="20"/>
                <w:szCs w:val="24"/>
                <w:lang w:val="en-AU"/>
              </w:rPr>
            </w:pPr>
            <w:r>
              <w:rPr>
                <w:sz w:val="20"/>
              </w:rPr>
              <w:t>Refine FNEP TIPE Learning Walks Checklist</w:t>
            </w:r>
          </w:p>
        </w:tc>
        <w:tc>
          <w:tcPr>
            <w:tcW w:w="1984" w:type="dxa"/>
            <w:noWrap w:val="0"/>
          </w:tcPr>
          <w:p w:rsidR="005B5A46" w:rsidRPr="009B0ADA" w:rsidP="00F5461B">
            <w:pPr>
              <w:spacing w:after="0" w:line="240" w:lineRule="auto"/>
              <w:rPr>
                <w:sz w:val="20"/>
                <w:szCs w:val="24"/>
                <w:lang w:val="en-AU"/>
              </w:rPr>
            </w:pPr>
            <w:r>
              <w:rPr>
                <w:sz w:val="20"/>
              </w:rPr>
              <w:t>from:</w:t>
              <w:br/>
              <w:t>Term 1</w:t>
            </w:r>
          </w:p>
          <w:p>
            <w:r>
              <w:rPr>
                <w:sz w:val="20"/>
              </w:rPr>
              <w:t>to:</w:t>
              <w:br/>
              <w:t>Term 4</w:t>
            </w:r>
          </w:p>
        </w:tc>
        <w:tc>
          <w:tcPr>
            <w:tcW w:w="2268" w:type="dxa"/>
            <w:noWrap w:val="0"/>
          </w:tcPr>
          <w:p w:rsidR="005B5A46" w:rsidRPr="009B0ADA" w:rsidP="00F5461B">
            <w:pPr>
              <w:spacing w:after="0" w:line="240" w:lineRule="auto"/>
              <w:jc w:val="right"/>
              <w:rPr>
                <w:sz w:val="20"/>
                <w:szCs w:val="24"/>
                <w:lang w:val="en-AU"/>
              </w:rPr>
            </w:pPr>
            <w:r>
              <w:rPr>
                <w:sz w:val="20"/>
              </w:rPr>
              <w:t>$150,000.00</w:t>
            </w:r>
          </w:p>
        </w:tc>
        <w:tc>
          <w:tcPr>
            <w:tcW w:w="7514" w:type="dxa"/>
          </w:tcPr>
          <w:p w:rsidR="005B5A46" w:rsidRPr="009B0ADA" w:rsidP="00F5461B">
            <w:pPr>
              <w:spacing w:after="0" w:line="240" w:lineRule="auto"/>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School-based staffing</w:t>
            </w:r>
          </w:p>
        </w:tc>
      </w:tr>
      <w:tr w:rsidTr="005B5A46">
        <w:tblPrEx>
          <w:tblW w:w="15141" w:type="dxa"/>
          <w:tblInd w:w="-545" w:type="dxa"/>
          <w:tblLayout w:type="fixed"/>
          <w:tblCellMar>
            <w:top w:w="57" w:type="dxa"/>
            <w:bottom w:w="57" w:type="dxa"/>
          </w:tblCellMar>
          <w:tblLook w:val="04A0"/>
        </w:tblPrEx>
        <w:trPr>
          <w:trHeight w:val="296"/>
        </w:trPr>
        <w:tc>
          <w:tcPr>
            <w:tcW w:w="3375" w:type="dxa"/>
            <w:noWrap w:val="0"/>
          </w:tcPr>
          <w:p w:rsidR="005B5A46" w:rsidRPr="009B0ADA" w:rsidP="00F5461B">
            <w:pPr>
              <w:spacing w:after="0" w:line="240" w:lineRule="auto"/>
              <w:rPr>
                <w:sz w:val="20"/>
                <w:szCs w:val="24"/>
                <w:lang w:val="en-AU"/>
              </w:rPr>
            </w:pPr>
            <w:r>
              <w:rPr>
                <w:sz w:val="20"/>
              </w:rPr>
              <w:t>Mobilise human resources through equity and Tier 3 funding to support the most vulnerable</w:t>
            </w:r>
          </w:p>
        </w:tc>
        <w:tc>
          <w:tcPr>
            <w:tcW w:w="1984" w:type="dxa"/>
            <w:noWrap w:val="0"/>
          </w:tcPr>
          <w:p w:rsidR="005B5A46" w:rsidRPr="009B0ADA" w:rsidP="00F5461B">
            <w:pPr>
              <w:spacing w:after="0" w:line="240" w:lineRule="auto"/>
              <w:rPr>
                <w:sz w:val="20"/>
                <w:szCs w:val="24"/>
                <w:lang w:val="en-AU"/>
              </w:rPr>
            </w:pPr>
            <w:r>
              <w:rPr>
                <w:sz w:val="20"/>
              </w:rPr>
              <w:t>from:</w:t>
              <w:br/>
              <w:t>Term 1</w:t>
            </w:r>
          </w:p>
          <w:p>
            <w:r>
              <w:rPr>
                <w:sz w:val="20"/>
              </w:rPr>
              <w:t>to:</w:t>
              <w:br/>
              <w:t>Term 4</w:t>
            </w:r>
          </w:p>
        </w:tc>
        <w:tc>
          <w:tcPr>
            <w:tcW w:w="2268" w:type="dxa"/>
            <w:noWrap w:val="0"/>
          </w:tcPr>
          <w:p w:rsidR="005B5A46" w:rsidRPr="009B0ADA" w:rsidP="00F5461B">
            <w:pPr>
              <w:spacing w:after="0" w:line="240" w:lineRule="auto"/>
              <w:jc w:val="right"/>
              <w:rPr>
                <w:sz w:val="20"/>
                <w:szCs w:val="24"/>
                <w:lang w:val="en-AU"/>
              </w:rPr>
            </w:pPr>
            <w:r>
              <w:rPr>
                <w:sz w:val="20"/>
              </w:rPr>
              <w:t>$150,000.00</w:t>
            </w:r>
          </w:p>
        </w:tc>
        <w:tc>
          <w:tcPr>
            <w:tcW w:w="7514" w:type="dxa"/>
          </w:tcPr>
          <w:p w:rsidR="005B5A46" w:rsidRPr="009B0ADA" w:rsidP="00F5461B">
            <w:pPr>
              <w:spacing w:after="0" w:line="240" w:lineRule="auto"/>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School-based staffing</w:t>
            </w:r>
          </w:p>
        </w:tc>
      </w:tr>
      <w:tr w:rsidTr="005B5A46">
        <w:tblPrEx>
          <w:tblW w:w="15141"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BC6C57">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BC6C57">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BC6C57">
            <w:pPr>
              <w:spacing w:after="0" w:line="240" w:lineRule="auto"/>
              <w:jc w:val="right"/>
              <w:rPr>
                <w:b/>
                <w:sz w:val="20"/>
                <w:szCs w:val="20"/>
                <w:lang w:val="en-AU"/>
              </w:rPr>
            </w:pPr>
            <w:r>
              <w:rPr>
                <w:sz w:val="20"/>
              </w:rPr>
              <w:t>$600,000.00</w:t>
            </w:r>
          </w:p>
        </w:tc>
        <w:tc>
          <w:tcPr>
            <w:tcW w:w="7514" w:type="dxa"/>
            <w:shd w:val="clear" w:color="auto" w:fill="BFBFBF" w:themeFill="background1" w:themeFillShade="BF"/>
          </w:tcPr>
          <w:p w:rsidR="005B5A46" w:rsidRPr="009B0ADA" w:rsidP="00BC6C57">
            <w:pPr>
              <w:spacing w:after="0" w:line="240" w:lineRule="auto"/>
              <w:rPr>
                <w:b/>
                <w:sz w:val="20"/>
                <w:szCs w:val="20"/>
                <w:lang w:val="en-AU"/>
              </w:rPr>
            </w:pPr>
          </w:p>
        </w:tc>
      </w:tr>
    </w:tbl>
    <w:p w:rsidR="00F5461B" w:rsidRPr="009B0ADA" w:rsidP="007B0A9A">
      <w:pPr>
        <w:spacing w:after="0" w:line="240" w:lineRule="auto"/>
        <w:rPr>
          <w:sz w:val="24"/>
          <w:szCs w:val="24"/>
          <w:lang w:val="en-AU"/>
        </w:rPr>
      </w:pPr>
    </w:p>
    <w:p w:rsidR="00E53DD0" w:rsidRPr="009B0ADA" w:rsidP="007B0A9A">
      <w:pPr>
        <w:spacing w:after="0" w:line="240" w:lineRule="auto"/>
        <w:rPr>
          <w:sz w:val="24"/>
          <w:szCs w:val="24"/>
          <w:lang w:val="en-AU"/>
        </w:rPr>
      </w:pPr>
    </w:p>
    <w:p w:rsidR="005B5A46" w:rsidRPr="009B0ADA" w:rsidP="007B0A9A">
      <w:pPr>
        <w:spacing w:after="0" w:line="240" w:lineRule="auto"/>
        <w:rPr>
          <w:sz w:val="24"/>
          <w:szCs w:val="24"/>
          <w:lang w:val="en-AU"/>
        </w:rPr>
      </w:pPr>
    </w:p>
    <w:p w:rsidR="00E53DD0" w:rsidRPr="009B0ADA" w:rsidP="005B5A46">
      <w:pPr>
        <w:pStyle w:val="ESSubheading1"/>
        <w:spacing w:after="120"/>
        <w:rPr>
          <w:lang w:val="en-AU"/>
        </w:rPr>
      </w:pPr>
      <w:r w:rsidRPr="009B0ADA">
        <w:rPr>
          <w:lang w:val="en-AU"/>
        </w:rPr>
        <w:t xml:space="preserve">Activities and </w:t>
      </w:r>
      <w:r w:rsidRPr="009B0ADA" w:rsidR="006058A8">
        <w:rPr>
          <w:lang w:val="en-AU"/>
        </w:rPr>
        <w:t>m</w:t>
      </w:r>
      <w:r w:rsidRPr="009B0ADA">
        <w:rPr>
          <w:lang w:val="en-AU"/>
        </w:rPr>
        <w:t xml:space="preserve">ilestones - </w:t>
      </w:r>
      <w:r w:rsidRPr="009B0ADA">
        <w:rPr>
          <w:lang w:val="en-AU"/>
        </w:rPr>
        <w:t>Disability Inclusion Funding</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B5A46">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4B2B8E">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4B2B8E">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4B2B8E">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4B2B8E">
            <w:pPr>
              <w:spacing w:after="0" w:line="240" w:lineRule="auto"/>
              <w:rPr>
                <w:b/>
                <w:sz w:val="20"/>
                <w:szCs w:val="20"/>
                <w:lang w:val="en-AU"/>
              </w:rPr>
            </w:pPr>
            <w:r w:rsidRPr="009B0ADA">
              <w:rPr>
                <w:b/>
                <w:sz w:val="20"/>
                <w:szCs w:val="20"/>
                <w:lang w:val="en-AU"/>
              </w:rPr>
              <w:t>Category</w:t>
            </w:r>
          </w:p>
        </w:tc>
      </w:tr>
      <w:tr w:rsidTr="005B5A46">
        <w:tblPrEx>
          <w:tblW w:w="14999" w:type="dxa"/>
          <w:tblInd w:w="-545" w:type="dxa"/>
          <w:tblLayout w:type="fixed"/>
          <w:tblCellMar>
            <w:top w:w="57" w:type="dxa"/>
            <w:bottom w:w="57" w:type="dxa"/>
          </w:tblCellMar>
          <w:tblLook w:val="04A0"/>
        </w:tblPrEx>
        <w:trPr>
          <w:trHeight w:val="296"/>
        </w:trPr>
        <w:tc>
          <w:tcPr>
            <w:tcW w:w="3375" w:type="dxa"/>
            <w:noWrap w:val="0"/>
          </w:tcPr>
          <w:p w:rsidR="005B5A46" w:rsidRPr="009B0ADA" w:rsidP="004B2B8E">
            <w:pPr>
              <w:spacing w:after="0" w:line="240" w:lineRule="auto"/>
              <w:rPr>
                <w:sz w:val="20"/>
                <w:szCs w:val="24"/>
                <w:lang w:val="en-AU"/>
              </w:rPr>
            </w:pPr>
            <w:r>
              <w:rPr>
                <w:sz w:val="20"/>
              </w:rPr>
              <w:t>Maintain clear referral processes, linked to the disability and inclusion model</w:t>
            </w:r>
          </w:p>
        </w:tc>
        <w:tc>
          <w:tcPr>
            <w:tcW w:w="1984" w:type="dxa"/>
            <w:noWrap w:val="0"/>
          </w:tcPr>
          <w:p w:rsidR="005B5A46" w:rsidRPr="009B0ADA" w:rsidP="004B2B8E">
            <w:pPr>
              <w:spacing w:after="0" w:line="240" w:lineRule="auto"/>
              <w:rPr>
                <w:sz w:val="20"/>
                <w:szCs w:val="24"/>
                <w:lang w:val="en-AU"/>
              </w:rPr>
            </w:pPr>
            <w:r>
              <w:rPr>
                <w:sz w:val="20"/>
              </w:rPr>
              <w:t>from:</w:t>
              <w:br/>
              <w:t>Term 1</w:t>
            </w:r>
          </w:p>
          <w:p>
            <w:r>
              <w:rPr>
                <w:sz w:val="20"/>
              </w:rPr>
              <w:t>to:</w:t>
              <w:br/>
              <w:t>Term 4</w:t>
            </w:r>
          </w:p>
        </w:tc>
        <w:tc>
          <w:tcPr>
            <w:tcW w:w="2268" w:type="dxa"/>
            <w:noWrap w:val="0"/>
          </w:tcPr>
          <w:p w:rsidR="005B5A46" w:rsidRPr="009B0ADA" w:rsidP="004B2B8E">
            <w:pPr>
              <w:spacing w:after="0" w:line="240" w:lineRule="auto"/>
              <w:jc w:val="right"/>
              <w:rPr>
                <w:sz w:val="20"/>
                <w:szCs w:val="24"/>
                <w:lang w:val="en-AU"/>
              </w:rPr>
            </w:pPr>
            <w:r>
              <w:rPr>
                <w:sz w:val="20"/>
              </w:rPr>
              <w:t>$150,000.00</w:t>
            </w:r>
          </w:p>
        </w:tc>
        <w:tc>
          <w:tcPr>
            <w:tcW w:w="7372" w:type="dxa"/>
          </w:tcPr>
          <w:p w:rsidR="005B5A46" w:rsidRPr="009B0ADA" w:rsidP="004B2B8E">
            <w:pPr>
              <w:spacing w:after="0" w:line="240" w:lineRule="auto"/>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Education workforces and/or assigning existing school staff to inclusive education duties</w:t>
            </w:r>
            <w:r w:rsidRPr="009B0ADA">
              <w:rPr>
                <w:sz w:val="20"/>
                <w:szCs w:val="24"/>
                <w:lang w:val="en-AU"/>
              </w:rPr>
              <w:br/>
            </w:r>
          </w:p>
          <w:p w:rsidR="005B5A46" w:rsidRPr="009B0ADA" w:rsidP="004B2B8E">
            <w:pPr>
              <w:numPr>
                <w:numId w:val="28"/>
              </w:numPr>
              <w:spacing w:after="0" w:line="240" w:lineRule="auto"/>
              <w:rPr>
                <w:sz w:val="20"/>
                <w:szCs w:val="24"/>
                <w:lang w:val="en-AU"/>
              </w:rPr>
            </w:pPr>
          </w:p>
        </w:tc>
      </w:tr>
      <w:tr w:rsidTr="005B5A46">
        <w:tblPrEx>
          <w:tblW w:w="14999" w:type="dxa"/>
          <w:tblInd w:w="-545" w:type="dxa"/>
          <w:tblLayout w:type="fixed"/>
          <w:tblCellMar>
            <w:top w:w="57" w:type="dxa"/>
            <w:bottom w:w="57" w:type="dxa"/>
          </w:tblCellMar>
          <w:tblLook w:val="04A0"/>
        </w:tblPrEx>
        <w:trPr>
          <w:trHeight w:val="296"/>
        </w:trPr>
        <w:tc>
          <w:tcPr>
            <w:tcW w:w="3375" w:type="dxa"/>
            <w:noWrap w:val="0"/>
          </w:tcPr>
          <w:p w:rsidR="005B5A46" w:rsidRPr="009B0ADA" w:rsidP="004B2B8E">
            <w:pPr>
              <w:spacing w:after="0" w:line="240" w:lineRule="auto"/>
              <w:rPr>
                <w:sz w:val="20"/>
                <w:szCs w:val="24"/>
                <w:lang w:val="en-AU"/>
              </w:rPr>
            </w:pPr>
            <w:r>
              <w:rPr>
                <w:sz w:val="20"/>
              </w:rPr>
              <w:t>Mobilise human resources through equity and Tier 3 funding to support the most vulnerable</w:t>
            </w:r>
          </w:p>
        </w:tc>
        <w:tc>
          <w:tcPr>
            <w:tcW w:w="1984" w:type="dxa"/>
            <w:noWrap w:val="0"/>
          </w:tcPr>
          <w:p w:rsidR="005B5A46" w:rsidRPr="009B0ADA" w:rsidP="004B2B8E">
            <w:pPr>
              <w:spacing w:after="0" w:line="240" w:lineRule="auto"/>
              <w:rPr>
                <w:sz w:val="20"/>
                <w:szCs w:val="24"/>
                <w:lang w:val="en-AU"/>
              </w:rPr>
            </w:pPr>
            <w:r>
              <w:rPr>
                <w:sz w:val="20"/>
              </w:rPr>
              <w:t>from:</w:t>
              <w:br/>
              <w:t>Term 1</w:t>
            </w:r>
          </w:p>
          <w:p>
            <w:r>
              <w:rPr>
                <w:sz w:val="20"/>
              </w:rPr>
              <w:t>to:</w:t>
              <w:br/>
              <w:t>Term 4</w:t>
            </w:r>
          </w:p>
        </w:tc>
        <w:tc>
          <w:tcPr>
            <w:tcW w:w="2268" w:type="dxa"/>
            <w:noWrap w:val="0"/>
          </w:tcPr>
          <w:p w:rsidR="005B5A46" w:rsidRPr="009B0ADA" w:rsidP="004B2B8E">
            <w:pPr>
              <w:spacing w:after="0" w:line="240" w:lineRule="auto"/>
              <w:jc w:val="right"/>
              <w:rPr>
                <w:sz w:val="20"/>
                <w:szCs w:val="24"/>
                <w:lang w:val="en-AU"/>
              </w:rPr>
            </w:pPr>
            <w:r>
              <w:rPr>
                <w:sz w:val="20"/>
              </w:rPr>
              <w:t>$150,000.00</w:t>
            </w:r>
          </w:p>
        </w:tc>
        <w:tc>
          <w:tcPr>
            <w:tcW w:w="7372" w:type="dxa"/>
          </w:tcPr>
          <w:p w:rsidR="005B5A46" w:rsidRPr="009B0ADA" w:rsidP="004B2B8E">
            <w:pPr>
              <w:spacing w:after="0" w:line="240" w:lineRule="auto"/>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Education workforces and/or assigning existing school staff to inclusive education duties</w:t>
            </w:r>
            <w:r w:rsidRPr="009B0ADA">
              <w:rPr>
                <w:sz w:val="20"/>
                <w:szCs w:val="24"/>
                <w:lang w:val="en-AU"/>
              </w:rPr>
              <w:br/>
            </w:r>
          </w:p>
          <w:p w:rsidR="005B5A46" w:rsidRPr="009B0ADA" w:rsidP="004B2B8E">
            <w:pPr>
              <w:numPr>
                <w:numId w:val="29"/>
              </w:numPr>
              <w:spacing w:after="0" w:line="240" w:lineRule="auto"/>
              <w:rPr>
                <w:sz w:val="20"/>
                <w:szCs w:val="24"/>
                <w:lang w:val="en-AU"/>
              </w:rPr>
            </w:pPr>
          </w:p>
        </w:tc>
      </w:tr>
      <w:tr w:rsidTr="005B5A46">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4B2B8E">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4B2B8E">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4B2B8E">
            <w:pPr>
              <w:spacing w:after="0" w:line="240" w:lineRule="auto"/>
              <w:jc w:val="right"/>
              <w:rPr>
                <w:b/>
                <w:sz w:val="20"/>
                <w:szCs w:val="20"/>
                <w:lang w:val="en-AU"/>
              </w:rPr>
            </w:pPr>
            <w:r>
              <w:rPr>
                <w:sz w:val="20"/>
              </w:rPr>
              <w:t>$300,000.00</w:t>
            </w:r>
          </w:p>
        </w:tc>
        <w:tc>
          <w:tcPr>
            <w:tcW w:w="7372" w:type="dxa"/>
            <w:shd w:val="clear" w:color="auto" w:fill="BFBFBF" w:themeFill="background1" w:themeFillShade="BF"/>
          </w:tcPr>
          <w:p w:rsidR="005B5A46" w:rsidRPr="009B0ADA" w:rsidP="004B2B8E">
            <w:pPr>
              <w:spacing w:after="0" w:line="240" w:lineRule="auto"/>
              <w:rPr>
                <w:b/>
                <w:sz w:val="20"/>
                <w:szCs w:val="20"/>
                <w:lang w:val="en-AU"/>
              </w:rPr>
            </w:pPr>
          </w:p>
        </w:tc>
      </w:tr>
    </w:tbl>
    <w:p w:rsidR="00E53DD0" w:rsidRPr="009B0ADA" w:rsidP="00E53DD0">
      <w:pPr>
        <w:spacing w:after="0" w:line="240" w:lineRule="auto"/>
        <w:rPr>
          <w:sz w:val="24"/>
          <w:szCs w:val="24"/>
          <w:lang w:val="en-AU"/>
        </w:rPr>
      </w:pPr>
    </w:p>
    <w:p w:rsidR="005B5A46" w:rsidRPr="009B0ADA" w:rsidP="00E53DD0">
      <w:pPr>
        <w:spacing w:after="0" w:line="240" w:lineRule="auto"/>
        <w:rPr>
          <w:sz w:val="24"/>
          <w:szCs w:val="24"/>
          <w:lang w:val="en-AU"/>
        </w:rPr>
      </w:pPr>
    </w:p>
    <w:p w:rsidR="00E53DD0" w:rsidRPr="009B0ADA" w:rsidP="007B0A9A">
      <w:pPr>
        <w:spacing w:after="0" w:line="240" w:lineRule="auto"/>
        <w:rPr>
          <w:sz w:val="24"/>
          <w:szCs w:val="24"/>
          <w:lang w:val="en-AU"/>
        </w:rPr>
      </w:pPr>
    </w:p>
    <w:p w:rsidR="00E53DD0" w:rsidRPr="009B0ADA" w:rsidP="005B5A46">
      <w:pPr>
        <w:pStyle w:val="ESSubheading1"/>
        <w:spacing w:after="120"/>
        <w:rPr>
          <w:lang w:val="en-AU"/>
        </w:rPr>
      </w:pPr>
      <w:r w:rsidRPr="009B0ADA">
        <w:rPr>
          <w:lang w:val="en-AU"/>
        </w:rPr>
        <w:t xml:space="preserve">Activities and </w:t>
      </w:r>
      <w:r w:rsidRPr="009B0ADA" w:rsidR="006058A8">
        <w:rPr>
          <w:lang w:val="en-AU"/>
        </w:rPr>
        <w:t>m</w:t>
      </w:r>
      <w:r w:rsidRPr="009B0ADA">
        <w:rPr>
          <w:lang w:val="en-AU"/>
        </w:rPr>
        <w:t xml:space="preserve">ilestones - </w:t>
      </w:r>
      <w:r w:rsidRPr="009B0ADA">
        <w:rPr>
          <w:lang w:val="en-AU"/>
        </w:rPr>
        <w:t>Schools Mental Health Fund and Menu</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576519">
            <w:pPr>
              <w:spacing w:after="0" w:line="240" w:lineRule="auto"/>
              <w:rPr>
                <w:b/>
                <w:sz w:val="20"/>
                <w:szCs w:val="20"/>
                <w:lang w:val="en-AU"/>
              </w:rPr>
            </w:pPr>
            <w:bookmarkEnd w:id="3"/>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Category</w:t>
            </w: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576519">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sz w:val="20"/>
              </w:rPr>
              <w:t>$0.00</w:t>
            </w:r>
          </w:p>
        </w:tc>
        <w:tc>
          <w:tcPr>
            <w:tcW w:w="7372" w:type="dxa"/>
            <w:shd w:val="clear" w:color="auto" w:fill="BFBFBF" w:themeFill="background1" w:themeFillShade="BF"/>
          </w:tcPr>
          <w:p w:rsidR="005B5A46" w:rsidRPr="009B0ADA" w:rsidP="00576519">
            <w:pPr>
              <w:spacing w:after="0" w:line="240" w:lineRule="auto"/>
              <w:rPr>
                <w:b/>
                <w:sz w:val="20"/>
                <w:szCs w:val="20"/>
                <w:lang w:val="en-AU"/>
              </w:rPr>
            </w:pPr>
          </w:p>
        </w:tc>
      </w:tr>
    </w:tbl>
    <w:p w:rsidR="00E53DD0" w:rsidRPr="009B0ADA" w:rsidP="00DA3296">
      <w:pPr>
        <w:pStyle w:val="ESSubheading1"/>
        <w:spacing w:after="120"/>
        <w:rPr>
          <w:lang w:val="en-AU"/>
        </w:rPr>
      </w:pPr>
    </w:p>
    <w:p w:rsidR="005B5A46" w:rsidRPr="009B0ADA" w:rsidP="00DA3296">
      <w:pPr>
        <w:pStyle w:val="ESSubheading1"/>
        <w:spacing w:after="120"/>
        <w:rPr>
          <w:lang w:val="en-AU"/>
        </w:rPr>
      </w:pPr>
    </w:p>
    <w:p w:rsidR="00F5461B" w:rsidRPr="009B0ADA" w:rsidP="00DA3296">
      <w:pPr>
        <w:pStyle w:val="ESSubheading1"/>
        <w:spacing w:after="120"/>
        <w:rPr>
          <w:lang w:val="en-AU"/>
        </w:rPr>
      </w:pPr>
      <w:r w:rsidRPr="009B0ADA">
        <w:rPr>
          <w:lang w:val="en-AU"/>
        </w:rPr>
        <w:t xml:space="preserve">Additional </w:t>
      </w:r>
      <w:r w:rsidRPr="009B0ADA" w:rsidR="006058A8">
        <w:rPr>
          <w:lang w:val="en-AU"/>
        </w:rPr>
        <w:t>f</w:t>
      </w:r>
      <w:r w:rsidRPr="009B0ADA" w:rsidR="00B140E8">
        <w:rPr>
          <w:lang w:val="en-AU"/>
        </w:rPr>
        <w:t xml:space="preserve">unding </w:t>
      </w:r>
      <w:r w:rsidRPr="009B0ADA" w:rsidR="006058A8">
        <w:rPr>
          <w:lang w:val="en-AU"/>
        </w:rPr>
        <w:t>p</w:t>
      </w:r>
      <w:r w:rsidRPr="009B0ADA" w:rsidR="00B140E8">
        <w:rPr>
          <w:lang w:val="en-AU"/>
        </w:rPr>
        <w:t>lanner</w:t>
      </w:r>
      <w:r w:rsidRPr="009B0ADA" w:rsidR="005B5A46">
        <w:rPr>
          <w:lang w:val="en-AU"/>
        </w:rPr>
        <w:t xml:space="preserve"> – Total Budget</w:t>
      </w:r>
    </w:p>
    <w:tbl>
      <w:tblPr>
        <w:tblStyle w:val="TableGrid"/>
        <w:tblW w:w="9612" w:type="dxa"/>
        <w:tblInd w:w="-545" w:type="dxa"/>
        <w:tblLayout w:type="fixed"/>
        <w:tblCellMar>
          <w:top w:w="57" w:type="dxa"/>
          <w:bottom w:w="57" w:type="dxa"/>
        </w:tblCellMar>
        <w:tblLook w:val="04A0"/>
      </w:tblPr>
      <w:tblGrid>
        <w:gridCol w:w="5502"/>
        <w:gridCol w:w="4110"/>
      </w:tblGrid>
      <w:tr w:rsidTr="00576519">
        <w:tblPrEx>
          <w:tblW w:w="9612" w:type="dxa"/>
          <w:tblInd w:w="-545" w:type="dxa"/>
          <w:tblLayout w:type="fixed"/>
          <w:tblCellMar>
            <w:top w:w="57" w:type="dxa"/>
            <w:bottom w:w="57" w:type="dxa"/>
          </w:tblCellMar>
          <w:tblLook w:val="04A0"/>
        </w:tblPrEx>
        <w:trPr>
          <w:trHeight w:val="296"/>
        </w:trPr>
        <w:tc>
          <w:tcPr>
            <w:tcW w:w="550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4110"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Budget</w:t>
            </w:r>
          </w:p>
        </w:tc>
      </w:tr>
      <w:tr w:rsidTr="00576519">
        <w:tblPrEx>
          <w:tblW w:w="9612" w:type="dxa"/>
          <w:tblInd w:w="-545" w:type="dxa"/>
          <w:tblLayout w:type="fixed"/>
          <w:tblCellMar>
            <w:top w:w="57" w:type="dxa"/>
            <w:bottom w:w="57" w:type="dxa"/>
          </w:tblCellMar>
          <w:tblLook w:val="04A0"/>
        </w:tblPrEx>
        <w:trPr>
          <w:trHeight w:val="332"/>
        </w:trPr>
        <w:tc>
          <w:tcPr>
            <w:tcW w:w="5502"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sz w:val="20"/>
              </w:rPr>
              <w:t>$0.00</w:t>
            </w:r>
          </w:p>
        </w:tc>
      </w:tr>
    </w:tbl>
    <w:p w:rsidR="005B5A46" w:rsidRPr="009B0ADA" w:rsidP="00DA3296">
      <w:pPr>
        <w:pStyle w:val="ESSubheading1"/>
        <w:spacing w:after="120"/>
        <w:rPr>
          <w:lang w:val="en-AU"/>
        </w:rPr>
      </w:pPr>
    </w:p>
    <w:p w:rsidR="00E53DD0" w:rsidRPr="009B0ADA" w:rsidP="005B5A46">
      <w:pPr>
        <w:pStyle w:val="ESSubheading1"/>
        <w:spacing w:after="120"/>
        <w:rPr>
          <w:lang w:val="en-AU"/>
        </w:rPr>
      </w:pPr>
      <w:r w:rsidRPr="009B0ADA">
        <w:rPr>
          <w:lang w:val="en-AU"/>
        </w:rPr>
        <w:t xml:space="preserve">Additional </w:t>
      </w:r>
      <w:r w:rsidRPr="009B0ADA" w:rsidR="006058A8">
        <w:rPr>
          <w:lang w:val="en-AU"/>
        </w:rPr>
        <w:t>f</w:t>
      </w:r>
      <w:r w:rsidRPr="009B0ADA">
        <w:rPr>
          <w:lang w:val="en-AU"/>
        </w:rPr>
        <w:t xml:space="preserve">unding </w:t>
      </w:r>
      <w:r w:rsidRPr="009B0ADA" w:rsidR="006058A8">
        <w:rPr>
          <w:lang w:val="en-AU"/>
        </w:rPr>
        <w:t>p</w:t>
      </w:r>
      <w:r w:rsidRPr="009B0ADA">
        <w:rPr>
          <w:lang w:val="en-AU"/>
        </w:rPr>
        <w:t xml:space="preserve">lanner – </w:t>
      </w:r>
      <w:r w:rsidRPr="009B0ADA">
        <w:rPr>
          <w:lang w:val="en-AU"/>
        </w:rPr>
        <w:t>Equity Funding</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Category</w:t>
            </w: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576519">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sz w:val="20"/>
              </w:rPr>
              <w:t>$0.00</w:t>
            </w:r>
          </w:p>
        </w:tc>
        <w:tc>
          <w:tcPr>
            <w:tcW w:w="7372" w:type="dxa"/>
            <w:shd w:val="clear" w:color="auto" w:fill="BFBFBF" w:themeFill="background1" w:themeFillShade="BF"/>
          </w:tcPr>
          <w:p w:rsidR="005B5A46" w:rsidRPr="009B0ADA" w:rsidP="00576519">
            <w:pPr>
              <w:spacing w:after="0" w:line="240" w:lineRule="auto"/>
              <w:rPr>
                <w:b/>
                <w:sz w:val="20"/>
                <w:szCs w:val="20"/>
                <w:lang w:val="en-AU"/>
              </w:rPr>
            </w:pPr>
          </w:p>
        </w:tc>
      </w:tr>
    </w:tbl>
    <w:p w:rsidR="00E53DD0" w:rsidRPr="009B0ADA" w:rsidP="00E53DD0">
      <w:pPr>
        <w:spacing w:after="0" w:line="240" w:lineRule="auto"/>
        <w:rPr>
          <w:sz w:val="24"/>
          <w:szCs w:val="24"/>
          <w:lang w:val="en-AU"/>
        </w:rPr>
      </w:pPr>
    </w:p>
    <w:p w:rsidR="00E53DD0" w:rsidRPr="009B0ADA" w:rsidP="00E53DD0">
      <w:pPr>
        <w:spacing w:after="0" w:line="240" w:lineRule="auto"/>
        <w:rPr>
          <w:sz w:val="24"/>
          <w:szCs w:val="24"/>
          <w:lang w:val="en-AU"/>
        </w:rPr>
      </w:pPr>
    </w:p>
    <w:p w:rsidR="00E53DD0" w:rsidRPr="009B0ADA" w:rsidP="005B5A46">
      <w:pPr>
        <w:pStyle w:val="ESSubheading1"/>
        <w:spacing w:after="120"/>
        <w:rPr>
          <w:lang w:val="en-AU"/>
        </w:rPr>
      </w:pPr>
      <w:r w:rsidRPr="009B0ADA">
        <w:rPr>
          <w:lang w:val="en-AU"/>
        </w:rPr>
        <w:t xml:space="preserve">Additional </w:t>
      </w:r>
      <w:r w:rsidRPr="009B0ADA" w:rsidR="006058A8">
        <w:rPr>
          <w:lang w:val="en-AU"/>
        </w:rPr>
        <w:t>f</w:t>
      </w:r>
      <w:r w:rsidRPr="009B0ADA">
        <w:rPr>
          <w:lang w:val="en-AU"/>
        </w:rPr>
        <w:t xml:space="preserve">unding </w:t>
      </w:r>
      <w:r w:rsidRPr="009B0ADA" w:rsidR="006058A8">
        <w:rPr>
          <w:lang w:val="en-AU"/>
        </w:rPr>
        <w:t>p</w:t>
      </w:r>
      <w:r w:rsidRPr="009B0ADA">
        <w:rPr>
          <w:lang w:val="en-AU"/>
        </w:rPr>
        <w:t xml:space="preserve">lanner – </w:t>
      </w:r>
      <w:r w:rsidRPr="009B0ADA">
        <w:rPr>
          <w:lang w:val="en-AU"/>
        </w:rPr>
        <w:t>Disability Inclusion Funding</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Category</w:t>
            </w: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576519">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sz w:val="20"/>
              </w:rPr>
              <w:t>$0.00</w:t>
            </w:r>
          </w:p>
        </w:tc>
        <w:tc>
          <w:tcPr>
            <w:tcW w:w="7372" w:type="dxa"/>
            <w:shd w:val="clear" w:color="auto" w:fill="BFBFBF" w:themeFill="background1" w:themeFillShade="BF"/>
          </w:tcPr>
          <w:p w:rsidR="005B5A46" w:rsidRPr="009B0ADA" w:rsidP="00576519">
            <w:pPr>
              <w:spacing w:after="0" w:line="240" w:lineRule="auto"/>
              <w:rPr>
                <w:b/>
                <w:sz w:val="20"/>
                <w:szCs w:val="20"/>
                <w:lang w:val="en-AU"/>
              </w:rPr>
            </w:pPr>
          </w:p>
        </w:tc>
      </w:tr>
    </w:tbl>
    <w:p w:rsidR="00E53DD0" w:rsidRPr="009B0ADA" w:rsidP="00E53DD0">
      <w:pPr>
        <w:spacing w:after="0" w:line="240" w:lineRule="auto"/>
        <w:rPr>
          <w:sz w:val="24"/>
          <w:szCs w:val="24"/>
          <w:lang w:val="en-AU"/>
        </w:rPr>
      </w:pPr>
    </w:p>
    <w:p w:rsidR="00E53DD0" w:rsidRPr="009B0ADA" w:rsidP="00E53DD0">
      <w:pPr>
        <w:spacing w:after="0" w:line="240" w:lineRule="auto"/>
        <w:rPr>
          <w:sz w:val="24"/>
          <w:szCs w:val="24"/>
          <w:lang w:val="en-AU"/>
        </w:rPr>
      </w:pPr>
    </w:p>
    <w:p w:rsidR="00E53DD0" w:rsidRPr="009B0ADA" w:rsidP="005B5A46">
      <w:pPr>
        <w:pStyle w:val="ESSubheading1"/>
        <w:spacing w:after="120"/>
        <w:rPr>
          <w:lang w:val="en-AU"/>
        </w:rPr>
      </w:pPr>
      <w:r w:rsidRPr="009B0ADA">
        <w:rPr>
          <w:lang w:val="en-AU"/>
        </w:rPr>
        <w:t xml:space="preserve">Additional </w:t>
      </w:r>
      <w:r w:rsidRPr="009B0ADA" w:rsidR="006058A8">
        <w:rPr>
          <w:lang w:val="en-AU"/>
        </w:rPr>
        <w:t>f</w:t>
      </w:r>
      <w:r w:rsidRPr="009B0ADA">
        <w:rPr>
          <w:lang w:val="en-AU"/>
        </w:rPr>
        <w:t xml:space="preserve">unding </w:t>
      </w:r>
      <w:r w:rsidRPr="009B0ADA" w:rsidR="006058A8">
        <w:rPr>
          <w:lang w:val="en-AU"/>
        </w:rPr>
        <w:t>p</w:t>
      </w:r>
      <w:r w:rsidRPr="009B0ADA">
        <w:rPr>
          <w:lang w:val="en-AU"/>
        </w:rPr>
        <w:t xml:space="preserve">lanner – </w:t>
      </w:r>
      <w:r w:rsidRPr="009B0ADA">
        <w:rPr>
          <w:lang w:val="en-AU"/>
        </w:rPr>
        <w:t>Schools Mental Health Fund and Menu</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Category</w:t>
            </w: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576519">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sz w:val="20"/>
              </w:rPr>
              <w:t>$0.00</w:t>
            </w:r>
          </w:p>
        </w:tc>
        <w:tc>
          <w:tcPr>
            <w:tcW w:w="7372" w:type="dxa"/>
            <w:shd w:val="clear" w:color="auto" w:fill="BFBFBF" w:themeFill="background1" w:themeFillShade="BF"/>
          </w:tcPr>
          <w:p w:rsidR="005B5A46" w:rsidRPr="009B0ADA" w:rsidP="00576519">
            <w:pPr>
              <w:spacing w:after="0" w:line="240" w:lineRule="auto"/>
              <w:rPr>
                <w:b/>
                <w:sz w:val="20"/>
                <w:szCs w:val="20"/>
                <w:lang w:val="en-AU"/>
              </w:rPr>
            </w:pPr>
          </w:p>
        </w:tc>
      </w:tr>
    </w:tbl>
    <w:p w:rsidR="00747ADA" w:rsidRPr="009B0ADA" w:rsidP="00747ADA">
      <w:pPr>
        <w:pStyle w:val="ESSubheading1"/>
        <w:spacing w:after="120"/>
        <w:ind w:left="0"/>
        <w:rPr>
          <w:lang w:val="en-AU"/>
        </w:rPr>
        <w:sectPr w:rsidSect="003E6F28">
          <w:headerReference w:type="even" r:id="rId26"/>
          <w:headerReference w:type="default" r:id="rId27"/>
          <w:footerReference w:type="default" r:id="rId28"/>
          <w:headerReference w:type="first" r:id="rId29"/>
          <w:pgSz w:w="16838" w:h="11906" w:orient="landscape" w:code="9"/>
          <w:pgMar w:top="1304" w:right="2036" w:bottom="1240" w:left="1304" w:header="624" w:footer="532" w:gutter="0"/>
          <w:pgNumType w:start="2"/>
          <w:cols w:space="397"/>
          <w:docGrid w:linePitch="360"/>
        </w:sectPr>
      </w:pPr>
    </w:p>
    <w:p w:rsidR="006F370A" w:rsidRPr="003B0D87" w:rsidP="0031627D">
      <w:pPr>
        <w:ind w:right="1618" w:hanging="540"/>
        <w:rPr>
          <w:b/>
          <w:color w:val="AF272F"/>
          <w:sz w:val="32"/>
          <w:szCs w:val="32"/>
          <w:lang w:val="en-AU"/>
        </w:rPr>
      </w:pPr>
      <w:r w:rsidRPr="003B0D87">
        <w:rPr>
          <w:b/>
          <w:color w:val="AF272F"/>
          <w:sz w:val="32"/>
          <w:szCs w:val="32"/>
          <w:lang w:val="en-AU"/>
        </w:rPr>
        <w:t xml:space="preserve">Professional </w:t>
      </w:r>
      <w:r w:rsidRPr="003B0D87" w:rsidR="00CB5539">
        <w:rPr>
          <w:b/>
          <w:color w:val="AF272F"/>
          <w:sz w:val="32"/>
          <w:szCs w:val="32"/>
          <w:lang w:val="en-AU"/>
        </w:rPr>
        <w:t>l</w:t>
      </w:r>
      <w:r w:rsidRPr="003B0D87">
        <w:rPr>
          <w:b/>
          <w:color w:val="AF272F"/>
          <w:sz w:val="32"/>
          <w:szCs w:val="32"/>
          <w:lang w:val="en-AU"/>
        </w:rPr>
        <w:t xml:space="preserve">earning </w:t>
      </w:r>
      <w:r w:rsidRPr="003B0D87" w:rsidR="00CB5539">
        <w:rPr>
          <w:b/>
          <w:color w:val="AF272F"/>
          <w:sz w:val="32"/>
          <w:szCs w:val="32"/>
          <w:lang w:val="en-AU"/>
        </w:rPr>
        <w:t>p</w:t>
      </w:r>
      <w:r w:rsidRPr="003B0D87">
        <w:rPr>
          <w:b/>
          <w:color w:val="AF272F"/>
          <w:sz w:val="32"/>
          <w:szCs w:val="32"/>
          <w:lang w:val="en-AU"/>
        </w:rPr>
        <w:t>lan</w:t>
      </w:r>
    </w:p>
    <w:p w:rsidR="00C259B6" w:rsidRPr="003B0D87" w:rsidP="00C259B6">
      <w:pPr>
        <w:pStyle w:val="ESIntroParagraph"/>
        <w:ind w:left="-567" w:right="4330"/>
        <w:rPr>
          <w:color w:val="AF272F"/>
          <w:sz w:val="18"/>
          <w:szCs w:val="18"/>
          <w:lang w:val="en-AU"/>
        </w:rPr>
      </w:pPr>
    </w:p>
    <w:tbl>
      <w:tblPr>
        <w:tblStyle w:val="TableGrid"/>
        <w:tblW w:w="15030" w:type="dxa"/>
        <w:tblInd w:w="-455" w:type="dxa"/>
        <w:tblCellMar>
          <w:top w:w="115" w:type="dxa"/>
          <w:left w:w="115" w:type="dxa"/>
          <w:bottom w:w="115" w:type="dxa"/>
          <w:right w:w="115" w:type="dxa"/>
        </w:tblCellMar>
        <w:tblLook w:val="04A0"/>
      </w:tblPr>
      <w:tblGrid>
        <w:gridCol w:w="2880"/>
        <w:gridCol w:w="1530"/>
        <w:gridCol w:w="1440"/>
        <w:gridCol w:w="2790"/>
        <w:gridCol w:w="2700"/>
        <w:gridCol w:w="2430"/>
        <w:gridCol w:w="1260"/>
      </w:tblGrid>
      <w:tr w:rsidTr="002D1F7D">
        <w:tblPrEx>
          <w:tblW w:w="15030" w:type="dxa"/>
          <w:tblInd w:w="-455" w:type="dxa"/>
          <w:tblCellMar>
            <w:top w:w="115" w:type="dxa"/>
            <w:left w:w="115" w:type="dxa"/>
            <w:bottom w:w="115" w:type="dxa"/>
            <w:right w:w="115" w:type="dxa"/>
          </w:tblCellMar>
          <w:tblLook w:val="04A0"/>
        </w:tblPrEx>
        <w:trPr>
          <w:trHeight w:val="353"/>
        </w:trPr>
        <w:tc>
          <w:tcPr>
            <w:tcW w:w="2880" w:type="dxa"/>
            <w:shd w:val="clear" w:color="auto" w:fill="D9D9D9" w:themeFill="background1" w:themeFillShade="D9"/>
          </w:tcPr>
          <w:p w:rsidR="00C259B6" w:rsidRPr="003B0D87" w:rsidP="00BB22C9">
            <w:pPr>
              <w:pStyle w:val="Heading3"/>
              <w:spacing w:before="0" w:after="0"/>
              <w:rPr>
                <w:lang w:val="en-AU"/>
              </w:rPr>
            </w:pPr>
            <w:r w:rsidRPr="003B0D87">
              <w:rPr>
                <w:bCs/>
                <w:szCs w:val="36"/>
                <w:lang w:val="en-AU"/>
              </w:rPr>
              <w:t xml:space="preserve">Professional </w:t>
            </w:r>
            <w:r w:rsidRPr="003B0D87" w:rsidR="00CB5539">
              <w:rPr>
                <w:bCs/>
                <w:szCs w:val="36"/>
                <w:lang w:val="en-AU"/>
              </w:rPr>
              <w:t>l</w:t>
            </w:r>
            <w:r w:rsidRPr="003B0D87">
              <w:rPr>
                <w:bCs/>
                <w:szCs w:val="36"/>
                <w:lang w:val="en-AU"/>
              </w:rPr>
              <w:t xml:space="preserve">earning </w:t>
            </w:r>
            <w:r w:rsidRPr="003B0D87" w:rsidR="00CB5539">
              <w:rPr>
                <w:bCs/>
                <w:szCs w:val="36"/>
                <w:lang w:val="en-AU"/>
              </w:rPr>
              <w:t>p</w:t>
            </w:r>
            <w:r w:rsidRPr="003B0D87">
              <w:rPr>
                <w:bCs/>
                <w:szCs w:val="36"/>
                <w:lang w:val="en-AU"/>
              </w:rPr>
              <w:t>riority</w:t>
            </w:r>
          </w:p>
        </w:tc>
        <w:tc>
          <w:tcPr>
            <w:tcW w:w="1530" w:type="dxa"/>
            <w:shd w:val="clear" w:color="auto" w:fill="D9D9D9" w:themeFill="background1" w:themeFillShade="D9"/>
          </w:tcPr>
          <w:p w:rsidR="00C259B6" w:rsidRPr="003B0D87" w:rsidP="00CB5539">
            <w:pPr>
              <w:pStyle w:val="Heading3"/>
              <w:spacing w:before="0" w:after="0"/>
              <w:rPr>
                <w:b w:val="0"/>
                <w:bCs/>
                <w:szCs w:val="36"/>
                <w:lang w:val="en-AU"/>
              </w:rPr>
            </w:pPr>
            <w:r w:rsidRPr="003B0D87">
              <w:rPr>
                <w:bCs/>
                <w:szCs w:val="36"/>
                <w:lang w:val="en-AU"/>
              </w:rPr>
              <w:t>Who</w:t>
            </w:r>
          </w:p>
        </w:tc>
        <w:tc>
          <w:tcPr>
            <w:tcW w:w="1440" w:type="dxa"/>
            <w:shd w:val="clear" w:color="auto" w:fill="D9D9D9" w:themeFill="background1" w:themeFillShade="D9"/>
          </w:tcPr>
          <w:p w:rsidR="00C259B6" w:rsidRPr="003B0D87" w:rsidP="00CB5539">
            <w:pPr>
              <w:pStyle w:val="Heading3"/>
              <w:spacing w:before="0" w:after="0"/>
              <w:rPr>
                <w:b w:val="0"/>
                <w:bCs/>
                <w:szCs w:val="36"/>
                <w:lang w:val="en-AU"/>
              </w:rPr>
            </w:pPr>
            <w:r w:rsidRPr="003B0D87">
              <w:rPr>
                <w:bCs/>
                <w:szCs w:val="36"/>
                <w:lang w:val="en-AU"/>
              </w:rPr>
              <w:t>When</w:t>
            </w:r>
          </w:p>
        </w:tc>
        <w:tc>
          <w:tcPr>
            <w:tcW w:w="2790" w:type="dxa"/>
            <w:shd w:val="clear" w:color="auto" w:fill="D9D9D9" w:themeFill="background1" w:themeFillShade="D9"/>
          </w:tcPr>
          <w:p w:rsidR="00C259B6" w:rsidRPr="003B0D87" w:rsidP="00BB22C9">
            <w:pPr>
              <w:pStyle w:val="Heading3"/>
              <w:spacing w:before="0" w:after="0"/>
              <w:rPr>
                <w:bCs/>
                <w:szCs w:val="36"/>
                <w:lang w:val="en-AU"/>
              </w:rPr>
            </w:pPr>
            <w:r w:rsidRPr="003B0D87">
              <w:rPr>
                <w:bCs/>
                <w:szCs w:val="36"/>
                <w:lang w:val="en-AU"/>
              </w:rPr>
              <w:t xml:space="preserve">Key </w:t>
            </w:r>
            <w:r w:rsidRPr="003B0D87" w:rsidR="00CB5539">
              <w:rPr>
                <w:bCs/>
                <w:szCs w:val="36"/>
                <w:lang w:val="en-AU"/>
              </w:rPr>
              <w:t>p</w:t>
            </w:r>
            <w:r w:rsidRPr="003B0D87">
              <w:rPr>
                <w:bCs/>
                <w:szCs w:val="36"/>
                <w:lang w:val="en-AU"/>
              </w:rPr>
              <w:t xml:space="preserve">rofessional </w:t>
            </w:r>
            <w:r w:rsidRPr="003B0D87" w:rsidR="00CB5539">
              <w:rPr>
                <w:bCs/>
                <w:szCs w:val="36"/>
                <w:lang w:val="en-AU"/>
              </w:rPr>
              <w:t>l</w:t>
            </w:r>
            <w:r w:rsidRPr="003B0D87">
              <w:rPr>
                <w:bCs/>
                <w:szCs w:val="36"/>
                <w:lang w:val="en-AU"/>
              </w:rPr>
              <w:t xml:space="preserve">earning </w:t>
            </w:r>
            <w:r w:rsidRPr="003B0D87" w:rsidR="00CB5539">
              <w:rPr>
                <w:bCs/>
                <w:szCs w:val="36"/>
                <w:lang w:val="en-AU"/>
              </w:rPr>
              <w:t>s</w:t>
            </w:r>
            <w:r w:rsidRPr="003B0D87">
              <w:rPr>
                <w:bCs/>
                <w:szCs w:val="36"/>
                <w:lang w:val="en-AU"/>
              </w:rPr>
              <w:t>trategies</w:t>
            </w:r>
          </w:p>
        </w:tc>
        <w:tc>
          <w:tcPr>
            <w:tcW w:w="2700" w:type="dxa"/>
            <w:shd w:val="clear" w:color="auto" w:fill="D9D9D9" w:themeFill="background1" w:themeFillShade="D9"/>
          </w:tcPr>
          <w:p w:rsidR="00C259B6" w:rsidRPr="003B0D87" w:rsidP="00BB22C9">
            <w:pPr>
              <w:pStyle w:val="Heading3"/>
              <w:spacing w:before="0" w:after="0"/>
              <w:rPr>
                <w:bCs/>
                <w:szCs w:val="36"/>
                <w:lang w:val="en-AU"/>
              </w:rPr>
            </w:pPr>
            <w:r w:rsidRPr="003B0D87">
              <w:rPr>
                <w:bCs/>
                <w:szCs w:val="36"/>
                <w:lang w:val="en-AU"/>
              </w:rPr>
              <w:t xml:space="preserve">Organisational </w:t>
            </w:r>
            <w:r w:rsidRPr="003B0D87" w:rsidR="00CB5539">
              <w:rPr>
                <w:bCs/>
                <w:szCs w:val="36"/>
                <w:lang w:val="en-AU"/>
              </w:rPr>
              <w:t>s</w:t>
            </w:r>
            <w:r w:rsidRPr="003B0D87">
              <w:rPr>
                <w:bCs/>
                <w:szCs w:val="36"/>
                <w:lang w:val="en-AU"/>
              </w:rPr>
              <w:t>tructure</w:t>
            </w:r>
          </w:p>
        </w:tc>
        <w:tc>
          <w:tcPr>
            <w:tcW w:w="2430" w:type="dxa"/>
            <w:shd w:val="clear" w:color="auto" w:fill="D9D9D9" w:themeFill="background1" w:themeFillShade="D9"/>
          </w:tcPr>
          <w:p w:rsidR="00C259B6" w:rsidRPr="003B0D87" w:rsidP="00BB22C9">
            <w:pPr>
              <w:pStyle w:val="Heading3"/>
              <w:spacing w:before="0" w:after="0"/>
              <w:rPr>
                <w:bCs/>
                <w:szCs w:val="36"/>
                <w:lang w:val="en-AU"/>
              </w:rPr>
            </w:pPr>
            <w:r w:rsidRPr="003B0D87">
              <w:rPr>
                <w:bCs/>
                <w:szCs w:val="36"/>
                <w:lang w:val="en-AU"/>
              </w:rPr>
              <w:t xml:space="preserve">Expertise </w:t>
            </w:r>
            <w:r w:rsidRPr="003B0D87" w:rsidR="00CB5539">
              <w:rPr>
                <w:bCs/>
                <w:szCs w:val="36"/>
                <w:lang w:val="en-AU"/>
              </w:rPr>
              <w:t>a</w:t>
            </w:r>
            <w:r w:rsidRPr="003B0D87">
              <w:rPr>
                <w:bCs/>
                <w:szCs w:val="36"/>
                <w:lang w:val="en-AU"/>
              </w:rPr>
              <w:t>ccessed</w:t>
            </w:r>
          </w:p>
        </w:tc>
        <w:tc>
          <w:tcPr>
            <w:tcW w:w="1260" w:type="dxa"/>
            <w:shd w:val="clear" w:color="auto" w:fill="D9D9D9" w:themeFill="background1" w:themeFillShade="D9"/>
          </w:tcPr>
          <w:p w:rsidR="00C259B6" w:rsidRPr="003B0D87" w:rsidP="00CB5539">
            <w:pPr>
              <w:pStyle w:val="Heading3"/>
              <w:spacing w:before="0" w:after="0"/>
              <w:rPr>
                <w:b w:val="0"/>
                <w:bCs/>
                <w:szCs w:val="36"/>
                <w:lang w:val="en-AU"/>
              </w:rPr>
            </w:pPr>
            <w:r w:rsidRPr="003B0D87">
              <w:rPr>
                <w:bCs/>
                <w:szCs w:val="36"/>
                <w:lang w:val="en-AU"/>
              </w:rPr>
              <w:t>W</w:t>
            </w:r>
            <w:r w:rsidRPr="003B0D87" w:rsidR="00A67176">
              <w:rPr>
                <w:bCs/>
                <w:szCs w:val="36"/>
                <w:lang w:val="en-AU"/>
              </w:rPr>
              <w:t>he</w:t>
            </w:r>
            <w:r w:rsidRPr="003B0D87">
              <w:rPr>
                <w:bCs/>
                <w:szCs w:val="36"/>
                <w:lang w:val="en-AU"/>
              </w:rPr>
              <w:t>re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Develop an FNEP Numeracy strategy that supports staff to identify and meet students individual numeracy learning needs</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1440" w:type="dxa"/>
            <w:noWrap w:val="0"/>
          </w:tcPr>
          <w:p w:rsidR="00C259B6" w:rsidRPr="003B0D87" w:rsidP="00FB5F1A">
            <w:pPr>
              <w:spacing w:after="0"/>
              <w:rPr>
                <w:lang w:val="en-AU"/>
              </w:rPr>
            </w:pPr>
            <w:r>
              <w:rPr>
                <w:sz w:val="20"/>
              </w:rPr>
              <w:t>from:</w:t>
              <w:br/>
              <w:t>Term 1</w:t>
            </w:r>
          </w:p>
          <w:p>
            <w:r>
              <w:rPr>
                <w:sz w:val="20"/>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Preparation</w:t>
            </w:r>
          </w:p>
          <w:p>
            <w:r>
              <w:rPr>
                <w:rFonts w:ascii="Wingdings" w:eastAsia="Wingdings" w:hAnsi="Wingdings" w:cs="Wingdings"/>
                <w:color w:val="008000"/>
                <w:sz w:val="24"/>
              </w:rPr>
              <w:sym w:font="Wingdings" w:char="F0FE"/>
            </w:r>
            <w:r>
              <w:rPr>
                <w:rFonts w:ascii="Arial" w:eastAsia="Arial" w:hAnsi="Arial" w:cs="Arial"/>
                <w:color w:val="000000"/>
                <w:sz w:val="20"/>
              </w:rPr>
              <w:t xml:space="preserve"> Formalised PLC/PLTs</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Network professional learning</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w:t>
            </w:r>
          </w:p>
          <w:p>
            <w:r>
              <w:rPr>
                <w:rFonts w:ascii="Wingdings" w:eastAsia="Wingdings" w:hAnsi="Wingdings" w:cs="Wingdings"/>
                <w:color w:val="008000"/>
                <w:sz w:val="24"/>
              </w:rPr>
              <w:sym w:font="Wingdings" w:char="F0FE"/>
            </w:r>
            <w:r>
              <w:rPr>
                <w:rFonts w:ascii="Arial" w:eastAsia="Arial" w:hAnsi="Arial" w:cs="Arial"/>
                <w:color w:val="000000"/>
                <w:sz w:val="20"/>
              </w:rPr>
              <w:t xml:space="preserve"> Maths/Sci specialist</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Organise FNEP Learning Walks to observe staff practice and collect data on student experiences of Numeracy assessment and differentiation</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1440" w:type="dxa"/>
            <w:noWrap w:val="0"/>
          </w:tcPr>
          <w:p w:rsidR="00C259B6" w:rsidRPr="003B0D87" w:rsidP="00FB5F1A">
            <w:pPr>
              <w:spacing w:after="0"/>
              <w:rPr>
                <w:lang w:val="en-AU"/>
              </w:rPr>
            </w:pPr>
            <w:r>
              <w:rPr>
                <w:sz w:val="20"/>
              </w:rPr>
              <w:t>from:</w:t>
              <w:br/>
              <w:t>Term 3</w:t>
            </w:r>
          </w:p>
          <w:p>
            <w:r>
              <w:rPr>
                <w:sz w:val="20"/>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Preparation</w:t>
            </w:r>
          </w:p>
          <w:p>
            <w:r>
              <w:rPr>
                <w:rFonts w:ascii="Wingdings" w:eastAsia="Wingdings" w:hAnsi="Wingdings" w:cs="Wingdings"/>
                <w:color w:val="008000"/>
                <w:sz w:val="24"/>
              </w:rPr>
              <w:sym w:font="Wingdings" w:char="F0FE"/>
            </w:r>
            <w:r>
              <w:rPr>
                <w:rFonts w:ascii="Arial" w:eastAsia="Arial" w:hAnsi="Arial" w:cs="Arial"/>
                <w:color w:val="000000"/>
                <w:sz w:val="20"/>
              </w:rPr>
              <w:t xml:space="preserve"> Peer observation including feedback and reflection</w:t>
            </w:r>
          </w:p>
          <w:p>
            <w:r>
              <w:rPr>
                <w:rFonts w:ascii="Wingdings" w:eastAsia="Wingdings" w:hAnsi="Wingdings" w:cs="Wingdings"/>
                <w:color w:val="008000"/>
                <w:sz w:val="24"/>
              </w:rPr>
              <w:sym w:font="Wingdings" w:char="F0FE"/>
            </w:r>
            <w:r>
              <w:rPr>
                <w:rFonts w:ascii="Arial" w:eastAsia="Arial" w:hAnsi="Arial" w:cs="Arial"/>
                <w:color w:val="000000"/>
                <w:sz w:val="20"/>
              </w:rPr>
              <w:t xml:space="preserve"> Individualised reflection</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w:t>
            </w:r>
          </w:p>
          <w:p>
            <w:r>
              <w:rPr>
                <w:rFonts w:ascii="Wingdings" w:eastAsia="Wingdings" w:hAnsi="Wingdings" w:cs="Wingdings"/>
                <w:color w:val="008000"/>
                <w:sz w:val="24"/>
              </w:rPr>
              <w:sym w:font="Wingdings" w:char="F0FE"/>
            </w:r>
            <w:r>
              <w:rPr>
                <w:rFonts w:ascii="Arial" w:eastAsia="Arial" w:hAnsi="Arial" w:cs="Arial"/>
                <w:color w:val="000000"/>
                <w:sz w:val="20"/>
              </w:rPr>
              <w:t xml:space="preserve"> Maths/Sci specialist</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Collection and collation of TIPE Learning Walk data</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1440" w:type="dxa"/>
            <w:noWrap w:val="0"/>
          </w:tcPr>
          <w:p w:rsidR="00C259B6" w:rsidRPr="003B0D87" w:rsidP="00FB5F1A">
            <w:pPr>
              <w:spacing w:after="0"/>
              <w:rPr>
                <w:lang w:val="en-AU"/>
              </w:rPr>
            </w:pPr>
            <w:r>
              <w:rPr>
                <w:sz w:val="20"/>
              </w:rPr>
              <w:t>from:</w:t>
              <w:br/>
              <w:t>Term 1</w:t>
            </w:r>
          </w:p>
          <w:p>
            <w:r>
              <w:rPr>
                <w:sz w:val="20"/>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Collaborative inquiry/action research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Peer observation including feedback and reflection</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Within the FNEP TIPE team (Trauma-Informed, Positive Education) investigate professional learning opportunities, including subsequent sessions to determine impact and review actions</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1440" w:type="dxa"/>
            <w:noWrap w:val="0"/>
          </w:tcPr>
          <w:p w:rsidR="00C259B6" w:rsidRPr="003B0D87" w:rsidP="00FB5F1A">
            <w:pPr>
              <w:spacing w:after="0"/>
              <w:rPr>
                <w:lang w:val="en-AU"/>
              </w:rPr>
            </w:pPr>
            <w:r>
              <w:rPr>
                <w:sz w:val="20"/>
              </w:rPr>
              <w:t>from:</w:t>
              <w:br/>
              <w:t>Term 1</w:t>
            </w:r>
          </w:p>
          <w:p>
            <w:r>
              <w:rPr>
                <w:sz w:val="20"/>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Preparation</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Communities of practice</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Mobilise human resources through equity and Tier 3 funding to support the most vulnerable</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440" w:type="dxa"/>
            <w:noWrap w:val="0"/>
          </w:tcPr>
          <w:p w:rsidR="00C259B6" w:rsidRPr="003B0D87" w:rsidP="00FB5F1A">
            <w:pPr>
              <w:spacing w:after="0"/>
              <w:rPr>
                <w:lang w:val="en-AU"/>
              </w:rPr>
            </w:pPr>
            <w:r>
              <w:rPr>
                <w:sz w:val="20"/>
              </w:rPr>
              <w:t>from:</w:t>
              <w:br/>
              <w:t>Term 1</w:t>
            </w:r>
          </w:p>
          <w:p>
            <w:r>
              <w:rPr>
                <w:sz w:val="20"/>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Preparation</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noWrap w:val="0"/>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External consultants</w:t>
            </w:r>
          </w:p>
          <w:p>
            <w:r>
              <w:rPr>
                <w:color w:val="A9A9A9"/>
                <w:sz w:val="20"/>
              </w:rPr>
              <w:t>Willum Warrain Aboriginal Association</w:t>
            </w:r>
          </w:p>
        </w:tc>
        <w:tc>
          <w:tcPr>
            <w:tcW w:w="1260" w:type="dxa"/>
            <w:noWrap w:val="0"/>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Off-site</w:t>
            </w:r>
          </w:p>
          <w:p>
            <w:r>
              <w:rPr>
                <w:color w:val="A9A9A9"/>
                <w:sz w:val="20"/>
              </w:rPr>
              <w:t>Willum Warrain Aboriginal Association</w:t>
            </w:r>
          </w:p>
        </w:tc>
      </w:tr>
    </w:tbl>
    <w:p w:rsidR="00E66A5E" w:rsidRPr="003B0D87" w:rsidP="004B6AD4">
      <w:pPr>
        <w:pStyle w:val="ESBodyText"/>
        <w:rPr>
          <w:lang w:val="en-AU"/>
        </w:rPr>
      </w:pPr>
    </w:p>
    <w:sectPr w:rsidSect="004F1DF3">
      <w:headerReference w:type="even" r:id="rId30"/>
      <w:headerReference w:type="default" r:id="rId31"/>
      <w:footerReference w:type="default" r:id="rId32"/>
      <w:headerReference w:type="first" r:id="rId33"/>
      <w:pgSz w:w="16838" w:h="11906" w:orient="landscape" w:code="9"/>
      <w:pgMar w:top="1304" w:right="2036" w:bottom="1240" w:left="1304" w:header="624" w:footer="532" w:gutter="0"/>
      <w:pgNumType w:start="2"/>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793BFC" w:rsidP="00793BFC">
    <w:pPr>
      <w:pStyle w:val="ESSubheading1"/>
      <w:ind w:firstLine="567"/>
      <w:rPr>
        <w:sz w:val="15"/>
        <w:szCs w:val="15"/>
      </w:rPr>
    </w:pPr>
    <w:r w:rsidRPr="00793BFC">
      <w:rPr>
        <w:noProof/>
        <w:sz w:val="15"/>
        <w:szCs w:val="15"/>
      </w:rPr>
      <w:t>Monterey Secondary College (8809) - 2023 - AIP - Overall</w:t>
    </w:r>
    <w:r w:rsidRPr="00793BFC" w:rsidR="000C104E">
      <w:rPr>
        <w:noProof/>
        <w:sz w:val="15"/>
        <w:szCs w:val="15"/>
        <w:lang w:val="en-AU" w:eastAsia="en-AU"/>
      </w:rPr>
      <w:drawing>
        <wp:anchor distT="0" distB="0" distL="114300" distR="114300" simplePos="0" relativeHeight="25167257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000000"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B33DA4">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5C4" w:rsidRPr="00B4442D" w:rsidP="00DD6247">
    <w:pPr>
      <w:pStyle w:val="ESSubheading1"/>
      <w:ind w:firstLine="567"/>
      <w:rPr>
        <w:sz w:val="15"/>
        <w:szCs w:val="15"/>
      </w:rPr>
    </w:pPr>
    <w:r w:rsidRPr="00B4442D">
      <w:rPr>
        <w:noProof/>
        <w:sz w:val="15"/>
        <w:szCs w:val="15"/>
      </w:rPr>
      <w:t>Monterey Secondary College (8809) - 2023 - AIP - Self Evaluation Summary</w:t>
    </w:r>
    <w:r w:rsidRPr="00B4442D" w:rsidR="000C104E">
      <w:rPr>
        <w:noProof/>
        <w:sz w:val="15"/>
        <w:szCs w:val="15"/>
        <w:lang w:val="en-AU" w:eastAsia="en-AU"/>
      </w:rPr>
      <w:drawing>
        <wp:anchor distT="0" distB="0" distL="114300" distR="114300" simplePos="0" relativeHeight="251686912"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185381164"/>
      <w:docPartObj>
        <w:docPartGallery w:val="Page Numbers (Bottom of Page)"/>
        <w:docPartUnique/>
      </w:docPartObj>
    </w:sdtPr>
    <w:sdtEndPr>
      <w:rPr>
        <w:noProof/>
      </w:rPr>
    </w:sdtEndPr>
    <w:sdtContent>
      <w:p w:rsidR="00D015C4"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75B96">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C54" w:rsidRPr="00006534" w:rsidP="00943620">
    <w:pPr>
      <w:pStyle w:val="ESSubheading1"/>
      <w:ind w:firstLine="567"/>
    </w:pPr>
    <w:r w:rsidRPr="00943620">
      <w:rPr>
        <w:noProof/>
        <w:sz w:val="15"/>
        <w:szCs w:val="15"/>
      </w:rPr>
      <w:t>Monterey Secondary College (8809) - 2023 - AIP - Annual Goals Targets and KIS</w:t>
    </w:r>
    <w:r w:rsidRPr="000C104E" w:rsidR="000C104E">
      <w:rPr>
        <w:noProof/>
        <w:lang w:val="en-AU" w:eastAsia="en-AU"/>
      </w:rPr>
      <w:drawing>
        <wp:anchor distT="0" distB="0" distL="114300" distR="114300" simplePos="0" relativeHeight="25168793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74449587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rsidR="00943620">
      <w:t xml:space="preserve"> </w:t>
    </w:r>
  </w:p>
  <w:sdt>
    <w:sdtPr>
      <w:rPr>
        <w:rFonts w:eastAsia="Arial" w:cs="Times New Roman"/>
        <w:color w:val="AF272F"/>
        <w:sz w:val="15"/>
        <w:szCs w:val="15"/>
        <w:lang w:val="en-AU"/>
      </w:rPr>
      <w:id w:val="1917613192"/>
      <w:docPartObj>
        <w:docPartGallery w:val="Page Numbers (Bottom of Page)"/>
        <w:docPartUnique/>
      </w:docPartObj>
    </w:sdtPr>
    <w:sdtEndPr>
      <w:rPr>
        <w:noProof/>
      </w:rPr>
    </w:sdtEndPr>
    <w:sdtContent>
      <w:p w:rsidR="00312C54"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C15853">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3995" w:rsidRPr="00006534" w:rsidP="0091722C">
    <w:pPr>
      <w:pStyle w:val="ESSubheading1"/>
      <w:ind w:firstLine="567"/>
    </w:pPr>
    <w:r w:rsidRPr="0091722C">
      <w:rPr>
        <w:noProof/>
        <w:sz w:val="15"/>
        <w:szCs w:val="15"/>
      </w:rPr>
      <w:t>Monterey Secondary College (8809) - 2023 - AIP - Actions Outcomes and Activities</w:t>
    </w:r>
    <w:r w:rsidRPr="000C104E" w:rsidR="000C104E">
      <w:rPr>
        <w:noProof/>
        <w:lang w:val="en-AU" w:eastAsia="en-AU"/>
      </w:rPr>
      <w:drawing>
        <wp:anchor distT="0" distB="0" distL="114300" distR="114300" simplePos="0" relativeHeight="251692032"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131199578"/>
      <w:docPartObj>
        <w:docPartGallery w:val="Page Numbers (Bottom of Page)"/>
        <w:docPartUnique/>
      </w:docPartObj>
    </w:sdtPr>
    <w:sdtEndPr>
      <w:rPr>
        <w:noProof/>
      </w:rPr>
    </w:sdtEndPr>
    <w:sdtContent>
      <w:p w:rsidR="00843995"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03446">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167" w:rsidRPr="00B4442D" w:rsidP="00DD6247">
    <w:pPr>
      <w:pStyle w:val="ESSubheading1"/>
      <w:ind w:firstLine="567"/>
      <w:rPr>
        <w:sz w:val="15"/>
        <w:szCs w:val="15"/>
      </w:rPr>
    </w:pPr>
    <w:r w:rsidRPr="00B4442D">
      <w:rPr>
        <w:noProof/>
        <w:sz w:val="15"/>
        <w:szCs w:val="15"/>
      </w:rPr>
      <w:t>Monterey Secondary College (8809) - 2023 - AIP - Funding Planner</w:t>
    </w:r>
    <w:r w:rsidRPr="00B4442D" w:rsidR="000C104E">
      <w:rPr>
        <w:noProof/>
        <w:sz w:val="15"/>
        <w:szCs w:val="15"/>
        <w:lang w:val="en-AU" w:eastAsia="en-AU"/>
      </w:rPr>
      <w:drawing>
        <wp:anchor distT="0" distB="0" distL="114300" distR="114300" simplePos="0" relativeHeight="25169305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735438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28587283"/>
      <w:docPartObj>
        <w:docPartGallery w:val="Page Numbers (Bottom of Page)"/>
        <w:docPartUnique/>
      </w:docPartObj>
    </w:sdtPr>
    <w:sdtEndPr>
      <w:rPr>
        <w:noProof/>
      </w:rPr>
    </w:sdtEndPr>
    <w:sdtContent>
      <w:p w:rsidR="00334167"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34778B">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B73" w:rsidRPr="00006534" w:rsidP="005513BB">
    <w:pPr>
      <w:pStyle w:val="ESSubheading1"/>
      <w:ind w:firstLine="567"/>
    </w:pPr>
    <w:r w:rsidRPr="005513BB">
      <w:rPr>
        <w:noProof/>
        <w:sz w:val="15"/>
        <w:szCs w:val="15"/>
      </w:rPr>
      <w:t>Monterey Secondary College (8809) - 2023 - AIP - Professional Learning Plan</w:t>
    </w:r>
    <w:r w:rsidRPr="000C104E" w:rsidR="000C104E">
      <w:rPr>
        <w:noProof/>
        <w:lang w:val="en-AU" w:eastAsia="en-AU"/>
      </w:rPr>
      <w:drawing>
        <wp:anchor distT="0" distB="0" distL="114300" distR="114300" simplePos="0" relativeHeight="25169408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21399191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rsidR="005513BB">
      <w:t xml:space="preserve"> </w:t>
    </w:r>
  </w:p>
  <w:sdt>
    <w:sdtPr>
      <w:rPr>
        <w:rFonts w:eastAsia="Arial" w:cs="Times New Roman"/>
        <w:color w:val="AF272F"/>
        <w:sz w:val="15"/>
        <w:szCs w:val="15"/>
        <w:lang w:val="en-AU"/>
      </w:rPr>
      <w:id w:val="1851057252"/>
      <w:docPartObj>
        <w:docPartGallery w:val="Page Numbers (Bottom of Page)"/>
        <w:docPartUnique/>
      </w:docPartObj>
    </w:sdtPr>
    <w:sdtEndPr>
      <w:rPr>
        <w:noProof/>
      </w:rPr>
    </w:sdtEndPr>
    <w:sdtContent>
      <w:p w:rsidR="00F21B73"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10191">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872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450"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5"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384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3995" w:rsidRPr="003E29B5" w:rsidP="008766A4">
    <w:r w:rsidRPr="000C104E">
      <w:rPr>
        <w:noProof/>
        <w:lang w:val="en-AU" w:eastAsia="en-AU"/>
      </w:rPr>
      <w:drawing>
        <wp:anchor distT="0" distB="0" distL="114300" distR="114300" simplePos="0" relativeHeight="25168896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4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6"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564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974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683"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48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167" w:rsidRPr="003E29B5" w:rsidP="008766A4">
    <w:r w:rsidRPr="000C104E">
      <w:rPr>
        <w:noProof/>
        <w:lang w:val="en-AU" w:eastAsia="en-AU"/>
      </w:rPr>
      <w:drawing>
        <wp:anchor distT="0" distB="0" distL="114300" distR="114300" simplePos="0" relativeHeight="251689984"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2451649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68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8"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667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8076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916"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588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B73" w:rsidRPr="003E29B5" w:rsidP="008766A4">
    <w:r w:rsidRPr="000C104E">
      <w:rPr>
        <w:noProof/>
        <w:lang w:val="en-AU" w:eastAsia="en-AU"/>
      </w:rPr>
      <w:drawing>
        <wp:anchor distT="0" distB="0" distL="114300" distR="114300" simplePos="0" relativeHeight="251691008"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5012712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155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9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6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7696"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3E29B5" w:rsidP="008766A4">
    <w:r w:rsidRPr="000C104E">
      <w:rPr>
        <w:noProof/>
        <w:lang w:val="en-AU" w:eastAsia="en-AU"/>
      </w:rPr>
      <w:drawing>
        <wp:anchor distT="0" distB="0" distL="114300" distR="114300" simplePos="0" relativeHeight="251666432"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745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991"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360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sidRPr="000C104E">
      <w:rPr>
        <w:noProof/>
        <w:lang w:val="en-AU" w:eastAsia="en-AU"/>
      </w:rPr>
      <w:drawing>
        <wp:anchor distT="0" distB="0" distL="114300" distR="114300" simplePos="0" relativeHeight="251681792"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9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438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21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462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C54" w:rsidRPr="003E29B5" w:rsidP="008766A4">
    <w:r w:rsidRPr="000C104E">
      <w:rPr>
        <w:noProof/>
        <w:lang w:val="en-AU" w:eastAsia="en-AU"/>
      </w:rPr>
      <w:drawing>
        <wp:anchor distT="0" distB="0" distL="114300" distR="114300" simplePos="0" relativeHeight="25168281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3103758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21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FCB6DE4"/>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FCB6DE5"/>
    <w:multiLevelType w:val="hybridMultilevel"/>
    <w:tmpl w:val="7FCB6DE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FCB6DE6"/>
    <w:multiLevelType w:val="hybridMultilevel"/>
    <w:tmpl w:val="7FCB6DE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7FCB6DE7"/>
    <w:multiLevelType w:val="hybridMultilevel"/>
    <w:tmpl w:val="7FCB6DE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7FCB6DE8"/>
    <w:multiLevelType w:val="hybridMultilevel"/>
    <w:tmpl w:val="7FCB6DE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7FCB6DE9"/>
    <w:multiLevelType w:val="hybridMultilevel"/>
    <w:tmpl w:val="7FCB6DE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7FCB6DEA"/>
    <w:multiLevelType w:val="hybridMultilevel"/>
    <w:tmpl w:val="7FCB6DE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7FCB6DEB"/>
    <w:multiLevelType w:val="hybridMultilevel"/>
    <w:tmpl w:val="7FCB6DE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7FCB6DEC"/>
    <w:multiLevelType w:val="hybridMultilevel"/>
    <w:tmpl w:val="7FCB6DE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2.xml" /><Relationship Id="rId17" Type="http://schemas.openxmlformats.org/officeDocument/2006/relationships/header" Target="head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header" Target="head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4.xml" /><Relationship Id="rId25" Type="http://schemas.openxmlformats.org/officeDocument/2006/relationships/header" Target="header12.xml" /><Relationship Id="rId26" Type="http://schemas.openxmlformats.org/officeDocument/2006/relationships/header" Target="header13.xml" /><Relationship Id="rId27" Type="http://schemas.openxmlformats.org/officeDocument/2006/relationships/header" Target="header14.xml" /><Relationship Id="rId28" Type="http://schemas.openxmlformats.org/officeDocument/2006/relationships/footer" Target="footer5.xml" /><Relationship Id="rId29" Type="http://schemas.openxmlformats.org/officeDocument/2006/relationships/header" Target="header15.xml" /><Relationship Id="rId3" Type="http://schemas.openxmlformats.org/officeDocument/2006/relationships/fontTable" Target="fontTable.xml" /><Relationship Id="rId30" Type="http://schemas.openxmlformats.org/officeDocument/2006/relationships/header" Target="header16.xml" /><Relationship Id="rId31" Type="http://schemas.openxmlformats.org/officeDocument/2006/relationships/header" Target="header17.xml" /><Relationship Id="rId32" Type="http://schemas.openxmlformats.org/officeDocument/2006/relationships/footer" Target="footer6.xml" /><Relationship Id="rId33" Type="http://schemas.openxmlformats.org/officeDocument/2006/relationships/header" Target="header18.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footer5.xml.rels>&#65279;<?xml version="1.0" encoding="utf-8" standalone="yes"?><Relationships xmlns="http://schemas.openxmlformats.org/package/2006/relationships"><Relationship Id="rId1" Type="http://schemas.openxmlformats.org/officeDocument/2006/relationships/image" Target="media/image3.png" /></Relationships>
</file>

<file path=word/_rels/footer6.xml.rels>&#65279;<?xml version="1.0" encoding="utf-8" standalone="yes"?><Relationships xmlns="http://schemas.openxmlformats.org/package/2006/relationships"><Relationship Id="rId1" Type="http://schemas.openxmlformats.org/officeDocument/2006/relationships/image" Target="media/image3.png" /></Relationships>
</file>

<file path=word/_rels/header11.xml.rels>&#65279;<?xml version="1.0" encoding="utf-8" standalone="yes"?><Relationships xmlns="http://schemas.openxmlformats.org/package/2006/relationships"><Relationship Id="rId1" Type="http://schemas.openxmlformats.org/officeDocument/2006/relationships/image" Target="media/image2.png" /></Relationships>
</file>

<file path=word/_rels/header14.xml.rels>&#65279;<?xml version="1.0" encoding="utf-8" standalone="yes"?><Relationships xmlns="http://schemas.openxmlformats.org/package/2006/relationships"><Relationship Id="rId1" Type="http://schemas.openxmlformats.org/officeDocument/2006/relationships/image" Target="media/image2.png" /></Relationships>
</file>

<file path=word/_rels/header17.xml.rels>&#65279;<?xml version="1.0" encoding="utf-8" standalone="yes"?><Relationships xmlns="http://schemas.openxmlformats.org/package/2006/relationships"><Relationship Id="rId1" Type="http://schemas.openxmlformats.org/officeDocument/2006/relationships/image" Target="media/image2.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216CCA-54A4-4E61-8ED1-8F589480FEB1}">
  <ds:schemaRefs>
    <ds:schemaRef ds:uri="http://schemas.openxmlformats.org/officeDocument/2006/bibliography"/>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2333</TotalTime>
  <Pages>1</Pages>
  <Words>34</Words>
  <Characters>195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97</cp:revision>
  <dcterms:created xsi:type="dcterms:W3CDTF">2017-09-11T05:00:00Z</dcterms:created>
  <dcterms:modified xsi:type="dcterms:W3CDTF">2024-01-31T05:59:00Z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