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16.xml" ContentType="application/vnd.ms-office.chartcolorstyle+xml"/>
  <Override PartName="/word/charts/chart/colors17.xml" ContentType="application/vnd.ms-office.chartcolorstyle+xml"/>
  <Override PartName="/word/charts/chart/colors18.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16.xml" ContentType="application/vnd.ms-office.chartstyle+xml"/>
  <Override PartName="/word/charts/chart/style17.xml" ContentType="application/vnd.ms-office.chartstyle+xml"/>
  <Override PartName="/word/charts/chart/style18.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642089" w:rsidRPr="00EA76EA" w:rsidP="0051066D">
      <w:pPr>
        <w:spacing w:before="240" w:after="400" w:line="240" w:lineRule="auto"/>
        <w:ind w:right="420"/>
        <w:rPr>
          <w:b/>
          <w:sz w:val="48"/>
          <w:szCs w:val="48"/>
          <w:lang w:val="en-AU"/>
        </w:rPr>
      </w:pPr>
      <w:r w:rsidRPr="00EA76EA">
        <w:rPr>
          <w:b/>
          <w:noProof/>
          <w:sz w:val="48"/>
          <w:szCs w:val="48"/>
          <w:lang w:val="en-AU"/>
        </w:rPr>
        <w:t>2023</w:t>
      </w:r>
      <w:r w:rsidRPr="00EA76EA" w:rsidR="0009470D">
        <w:rPr>
          <w:b/>
          <w:sz w:val="48"/>
          <w:szCs w:val="48"/>
          <w:lang w:val="en-AU"/>
        </w:rPr>
        <w:t xml:space="preserve"> Annual Report to</w:t>
      </w:r>
      <w:r w:rsidRPr="00EA76EA">
        <w:rPr>
          <w:b/>
          <w:sz w:val="48"/>
          <w:szCs w:val="48"/>
          <w:lang w:val="en-AU"/>
        </w:rPr>
        <w:t xml:space="preserve"> t</w:t>
      </w:r>
      <w:r w:rsidRPr="00EA76EA" w:rsidR="0009470D">
        <w:rPr>
          <w:b/>
          <w:sz w:val="48"/>
          <w:szCs w:val="48"/>
          <w:lang w:val="en-AU"/>
        </w:rPr>
        <w:t>he</w:t>
      </w:r>
      <w:r w:rsidRPr="00EA76EA" w:rsidR="0051066D">
        <w:rPr>
          <w:b/>
          <w:sz w:val="48"/>
          <w:szCs w:val="48"/>
          <w:lang w:val="en-AU"/>
        </w:rPr>
        <w:t xml:space="preserve"> </w:t>
      </w:r>
      <w:r w:rsidRPr="00EA76EA" w:rsidR="0009470D">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B255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642089" w:rsidRPr="00EA76EA" w:rsidP="00B25523">
            <w:pPr>
              <w:ind w:left="-509" w:right="419"/>
              <w:jc w:val="center"/>
              <w:rPr>
                <w:color w:val="595959" w:themeColor="text1" w:themeTint="A6"/>
                <w:lang w:val="en-AU"/>
              </w:rPr>
            </w:pPr>
            <w:r w:rsidRPr="00EA76EA">
              <w:rPr>
                <w:noProof/>
                <w:color w:val="595959" w:themeColor="text1" w:themeTint="A6"/>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1314634" cy="1428949"/>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1314634" cy="1428949"/>
                          </a:xfrm>
                          <a:prstGeom prst="rect">
                            <a:avLst/>
                          </a:prstGeom>
                        </pic:spPr>
                      </pic:pic>
                    </a:graphicData>
                  </a:graphic>
                </wp:anchor>
              </w:drawing>
            </w:r>
          </w:p>
        </w:tc>
        <w:tc>
          <w:tcPr>
            <w:tcW w:w="6229" w:type="dxa"/>
          </w:tcPr>
          <w:p w:rsidR="00642089" w:rsidRPr="00EA76EA"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0000" cy="350640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05 March 2024 at 04:45 PM by Peter Langham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16 April 2024 at 04:00 PM by Emma Boag (School Council President)</w:t>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276.09pt;margin-left:-164.9pt;margin-top:180.53pt;mso-height-percent:0;mso-height-relative:margin;mso-position-horizontal-relative:margin;mso-width-percent:0;mso-width-relative:margin;mso-wrap-distance-bottom:0;mso-wrap-distance-left:9pt;mso-wrap-distance-right:9pt;mso-wrap-distance-top:0;position:absolute;width:566.93pt;z-index:251659264" filled="f" fillcolor="this" stroked="f">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05 March 2024 at 04:45 PM by Peter Langham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16 April 2024 at 04:00 PM by Emma Boag (School Council President)</w:t>
                                  </w:r>
                                </w:p>
                              </w:tc>
                            </w:tr>
                          </w:tbl>
                          <w:p w:rsidR="00A66941" w:rsidP="00177D7F"/>
                        </w:txbxContent>
                      </v:textbox>
                      <w10:wrap anchorx="margin"/>
                    </v:shape>
                  </w:pict>
                </mc:Fallback>
              </mc:AlternateContent>
            </w:r>
          </w:p>
        </w:tc>
      </w:tr>
    </w:tbl>
    <w:p w:rsidR="00B076DB" w:rsidRPr="00EA76EA" w:rsidP="00A66941">
      <w:pPr>
        <w:ind w:right="419"/>
        <w:rPr>
          <w:bCs/>
          <w:sz w:val="36"/>
          <w:szCs w:val="36"/>
          <w:lang w:val="en-AU"/>
        </w:rPr>
      </w:pPr>
      <w:r w:rsidRPr="00EA76EA">
        <w:rPr>
          <w:bCs/>
          <w:noProof/>
          <w:sz w:val="36"/>
          <w:szCs w:val="36"/>
          <w:lang w:val="en-AU"/>
        </w:rPr>
        <w:t>School</w:t>
      </w:r>
      <w:r w:rsidRPr="00EA76EA" w:rsidR="00BE480F">
        <w:rPr>
          <w:bCs/>
          <w:noProof/>
          <w:sz w:val="36"/>
          <w:szCs w:val="36"/>
          <w:lang w:val="en-AU"/>
        </w:rPr>
        <w:t xml:space="preserve"> </w:t>
      </w:r>
      <w:r w:rsidRPr="00EA76EA">
        <w:rPr>
          <w:bCs/>
          <w:noProof/>
          <w:sz w:val="36"/>
          <w:szCs w:val="36"/>
          <w:lang w:val="en-AU"/>
        </w:rPr>
        <w:t xml:space="preserve">Name: </w:t>
      </w:r>
      <w:r w:rsidRPr="00EA76EA" w:rsidR="00F72887">
        <w:rPr>
          <w:bCs/>
          <w:noProof/>
          <w:sz w:val="36"/>
          <w:szCs w:val="36"/>
          <w:lang w:val="en-AU"/>
        </w:rPr>
        <w:t>Monterey Secondary College (8809)</w:t>
      </w:r>
    </w:p>
    <w:p w:rsidR="00B25523" w:rsidRPr="00EA76EA" w:rsidP="00A66941">
      <w:pPr>
        <w:ind w:right="419"/>
        <w:rPr>
          <w:color w:val="FFFFFF" w:themeColor="background1"/>
          <w:sz w:val="36"/>
          <w:szCs w:val="36"/>
          <w:lang w:val="en-AU"/>
        </w:rPr>
      </w:pPr>
    </w:p>
    <w:p w:rsidR="00BE480F" w:rsidRPr="00EA76EA" w:rsidP="00AF1438">
      <w:pPr>
        <w:ind w:left="540" w:right="419"/>
        <w:rPr>
          <w:color w:val="595959" w:themeColor="text1" w:themeTint="A6"/>
          <w:lang w:val="en-AU"/>
        </w:rPr>
      </w:pPr>
    </w:p>
    <w:p w:rsidR="00481904" w:rsidRPr="00EA76EA" w:rsidP="00BF76C7">
      <w:pPr>
        <w:pStyle w:val="ESHeading2"/>
        <w:jc w:val="center"/>
        <w:rPr>
          <w:lang w:val="en-AU"/>
        </w:rPr>
        <w:sectPr w:rsidSect="0095453E">
          <w:headerReference w:type="even" r:id="rId10"/>
          <w:headerReference w:type="default" r:id="rId11"/>
          <w:footerReference w:type="even" r:id="rId12"/>
          <w:footerReference w:type="default" r:id="rId13"/>
          <w:headerReference w:type="first" r:id="rId14"/>
          <w:pgSz w:w="11906" w:h="16838" w:code="9"/>
          <w:pgMar w:top="2914" w:right="1134" w:bottom="1701" w:left="425" w:header="227" w:footer="709" w:gutter="0"/>
          <w:cols w:space="397"/>
          <w:docGrid w:linePitch="360"/>
        </w:sectPr>
      </w:pPr>
    </w:p>
    <w:p w:rsidR="005568AC" w:rsidP="0050417D">
      <w:pPr>
        <w:pStyle w:val="ESHeading10"/>
        <w:spacing w:after="0" w:line="240" w:lineRule="auto"/>
      </w:pPr>
      <w:r>
        <w:t>How to read the Annual Report</w:t>
      </w:r>
    </w:p>
    <w:p w:rsidR="004D2A34" w:rsidRPr="006825C7" w:rsidP="004D2A34">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rsidR="00C37A6F">
        <w:t xml:space="preserve">commentary </w:t>
      </w:r>
      <w:r w:rsidRPr="006825C7">
        <w:t xml:space="preserve">section </w:t>
      </w:r>
      <w:r w:rsidR="00C37A6F">
        <w:t xml:space="preserve">of this report </w:t>
      </w:r>
      <w:r w:rsidRPr="00B637FF">
        <w:t>refer</w:t>
      </w:r>
      <w:r w:rsidRPr="006825C7">
        <w:t xml:space="preserve"> to?</w:t>
      </w:r>
    </w:p>
    <w:p w:rsidR="009674DF" w:rsidRPr="007B3E14" w:rsidP="009674DF">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rsidR="009674DF" w:rsidRPr="007B3E14" w:rsidP="009674DF">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rsidR="009674DF" w:rsidP="009674DF">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rsidR="005568AC" w:rsidRPr="00620299" w:rsidP="0050417D">
      <w:pPr>
        <w:pStyle w:val="Style10"/>
        <w:spacing w:before="0" w:after="120"/>
        <w:rPr>
          <w:i/>
        </w:rPr>
      </w:pPr>
      <w:r>
        <w:t xml:space="preserve">What does the </w:t>
      </w:r>
      <w:r w:rsidR="00620299">
        <w:rPr>
          <w:i/>
        </w:rPr>
        <w:t>‘P</w:t>
      </w:r>
      <w:r w:rsidRPr="007567CF">
        <w:rPr>
          <w:i/>
        </w:rPr>
        <w:t>erformance Summary</w:t>
      </w:r>
      <w:r w:rsidR="00620299">
        <w:rPr>
          <w:i/>
        </w:rPr>
        <w:t>’</w:t>
      </w:r>
      <w:r>
        <w:t xml:space="preserve"> section of this report refer to?</w:t>
      </w:r>
    </w:p>
    <w:p w:rsidR="005568AC" w:rsidP="0050417D">
      <w:pPr>
        <w:spacing w:line="240" w:lineRule="auto"/>
        <w:rPr>
          <w:rFonts w:eastAsia="Arial" w:cs="Times New Roman"/>
          <w:color w:val="000000"/>
          <w:szCs w:val="20"/>
        </w:rPr>
      </w:pPr>
      <w:r>
        <w:rPr>
          <w:rFonts w:eastAsia="Arial" w:cs="Times New Roman"/>
          <w:color w:val="000000"/>
          <w:szCs w:val="20"/>
        </w:rPr>
        <w:t xml:space="preserve">The </w:t>
      </w:r>
      <w:r w:rsidRPr="00046522">
        <w:rPr>
          <w:rFonts w:eastAsia="Arial" w:cs="Times New Roman"/>
          <w:color w:val="000000"/>
          <w:szCs w:val="20"/>
        </w:rPr>
        <w:t>Performance Summary includes</w:t>
      </w:r>
      <w:r>
        <w:rPr>
          <w:rFonts w:eastAsia="Arial" w:cs="Times New Roman"/>
          <w:color w:val="000000"/>
          <w:szCs w:val="20"/>
        </w:rPr>
        <w:t xml:space="preserve"> </w:t>
      </w:r>
      <w:r w:rsidR="0069610B">
        <w:rPr>
          <w:rFonts w:eastAsia="Arial" w:cs="Times New Roman"/>
          <w:color w:val="000000"/>
          <w:szCs w:val="20"/>
        </w:rPr>
        <w:t>the following</w:t>
      </w:r>
      <w:r>
        <w:rPr>
          <w:rFonts w:eastAsia="Arial" w:cs="Times New Roman"/>
          <w:color w:val="000000"/>
          <w:szCs w:val="20"/>
        </w:rPr>
        <w:t>:</w:t>
      </w:r>
    </w:p>
    <w:p w:rsidR="00A14E75" w:rsidP="0050417D">
      <w:pPr>
        <w:spacing w:line="240" w:lineRule="auto"/>
        <w:ind w:left="720"/>
        <w:rPr>
          <w:rFonts w:eastAsia="Arial" w:cs="Times New Roman"/>
          <w:b/>
          <w:color w:val="000000"/>
          <w:szCs w:val="20"/>
        </w:rPr>
      </w:pPr>
      <w:r>
        <w:rPr>
          <w:rFonts w:eastAsia="Arial" w:cs="Times New Roman"/>
          <w:b/>
          <w:color w:val="000000"/>
          <w:szCs w:val="20"/>
        </w:rPr>
        <w:t>School Profile</w:t>
      </w:r>
    </w:p>
    <w:p w:rsidR="004B0401" w:rsidP="00046522">
      <w:pPr>
        <w:numPr>
          <w:ilvl w:val="0"/>
          <w:numId w:val="28"/>
        </w:numPr>
        <w:spacing w:after="100" w:line="240" w:lineRule="auto"/>
        <w:ind w:left="1434" w:hanging="357"/>
        <w:rPr>
          <w:rFonts w:eastAsia="Arial" w:cs="Times New Roman"/>
          <w:bCs/>
          <w:color w:val="000000"/>
          <w:szCs w:val="20"/>
        </w:rPr>
      </w:pPr>
      <w:r>
        <w:rPr>
          <w:rFonts w:eastAsia="Arial" w:cs="Times New Roman"/>
          <w:bCs/>
          <w:color w:val="000000"/>
          <w:szCs w:val="20"/>
        </w:rPr>
        <w:t>student</w:t>
      </w:r>
      <w:r w:rsidRPr="00A14E75" w:rsidR="00A14E75">
        <w:rPr>
          <w:rFonts w:eastAsia="Arial" w:cs="Times New Roman"/>
          <w:bCs/>
          <w:color w:val="000000"/>
          <w:szCs w:val="20"/>
        </w:rPr>
        <w:t xml:space="preserve"> enrolment</w:t>
      </w:r>
      <w:r>
        <w:rPr>
          <w:rFonts w:eastAsia="Arial" w:cs="Times New Roman"/>
          <w:bCs/>
          <w:color w:val="000000"/>
          <w:szCs w:val="20"/>
        </w:rPr>
        <w:t xml:space="preserve"> information</w:t>
      </w:r>
    </w:p>
    <w:p w:rsidR="00A14E75" w:rsidRPr="00A14E75" w:rsidP="00046522">
      <w:pPr>
        <w:numPr>
          <w:ilvl w:val="0"/>
          <w:numId w:val="28"/>
        </w:numPr>
        <w:spacing w:after="100" w:line="240" w:lineRule="auto"/>
        <w:ind w:left="1434" w:hanging="357"/>
        <w:rPr>
          <w:rFonts w:eastAsia="Arial" w:cs="Times New Roman"/>
          <w:bCs/>
          <w:color w:val="000000"/>
          <w:szCs w:val="20"/>
        </w:rPr>
      </w:pPr>
      <w:r>
        <w:rPr>
          <w:rFonts w:eastAsia="Arial" w:cs="Times New Roman"/>
          <w:bCs/>
          <w:color w:val="000000"/>
          <w:szCs w:val="20"/>
        </w:rPr>
        <w:t>the school’s ‘</w:t>
      </w:r>
      <w:r>
        <w:rPr>
          <w:rFonts w:eastAsia="Arial" w:cs="Times New Roman"/>
          <w:bCs/>
          <w:color w:val="000000"/>
          <w:szCs w:val="20"/>
        </w:rPr>
        <w:t>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A14E75" w:rsidRPr="00A14E75" w:rsidP="00046522">
      <w:pPr>
        <w:numPr>
          <w:ilvl w:val="0"/>
          <w:numId w:val="28"/>
        </w:numPr>
        <w:spacing w:after="100" w:line="240" w:lineRule="auto"/>
        <w:ind w:left="1434" w:hanging="357"/>
        <w:rPr>
          <w:rFonts w:eastAsia="Arial" w:cs="Times New Roman"/>
          <w:bCs/>
          <w:color w:val="000000"/>
          <w:szCs w:val="20"/>
        </w:rPr>
      </w:pPr>
      <w:r>
        <w:rPr>
          <w:rFonts w:eastAsia="Arial" w:cs="Times New Roman"/>
          <w:bCs/>
          <w:color w:val="000000"/>
          <w:szCs w:val="20"/>
        </w:rPr>
        <w:t>a</w:t>
      </w:r>
      <w:r>
        <w:rPr>
          <w:rFonts w:eastAsia="Arial" w:cs="Times New Roman"/>
          <w:bCs/>
          <w:color w:val="000000"/>
          <w:szCs w:val="20"/>
        </w:rPr>
        <w:t xml:space="preserve">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 xml:space="preserve">responses in the Parent Opinion Survey, shown against the statewide average </w:t>
      </w:r>
      <w:r w:rsidR="00874585">
        <w:rPr>
          <w:rFonts w:eastAsia="Arial" w:cs="Times New Roman"/>
          <w:bCs/>
          <w:color w:val="000000"/>
          <w:szCs w:val="20"/>
        </w:rPr>
        <w:t>for Secondary schools</w:t>
      </w:r>
    </w:p>
    <w:p w:rsidR="00A14E75" w:rsidP="00A14E75">
      <w:pPr>
        <w:pStyle w:val="ListParagraph"/>
        <w:numPr>
          <w:ilvl w:val="0"/>
          <w:numId w:val="29"/>
        </w:numPr>
        <w:spacing w:line="240" w:lineRule="auto"/>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w:t>
      </w:r>
      <w:r w:rsidR="00874585">
        <w:rPr>
          <w:rFonts w:eastAsia="Arial" w:cs="Times New Roman"/>
          <w:bCs/>
          <w:color w:val="000000"/>
          <w:szCs w:val="20"/>
        </w:rPr>
        <w:t xml:space="preserve"> for Secondary </w:t>
      </w:r>
      <w:r w:rsidR="00874585">
        <w:rPr>
          <w:rFonts w:eastAsia="Arial" w:cs="Times New Roman"/>
          <w:bCs/>
          <w:color w:val="000000"/>
          <w:szCs w:val="20"/>
        </w:rPr>
        <w:t>schools</w:t>
      </w:r>
    </w:p>
    <w:p w:rsidR="005568AC" w:rsidP="0050417D">
      <w:pPr>
        <w:spacing w:line="240" w:lineRule="auto"/>
        <w:ind w:left="720"/>
        <w:rPr>
          <w:rFonts w:eastAsia="Arial" w:cs="Times New Roman"/>
          <w:b/>
          <w:color w:val="000000"/>
          <w:szCs w:val="20"/>
        </w:rPr>
      </w:pPr>
      <w:r>
        <w:rPr>
          <w:rFonts w:eastAsia="Arial" w:cs="Times New Roman"/>
          <w:b/>
          <w:color w:val="000000"/>
          <w:szCs w:val="20"/>
        </w:rPr>
        <w:t>Learning</w:t>
      </w:r>
    </w:p>
    <w:p w:rsidR="005568AC" w:rsidP="00046522">
      <w:pPr>
        <w:numPr>
          <w:ilvl w:val="0"/>
          <w:numId w:val="28"/>
        </w:numPr>
        <w:spacing w:after="100" w:line="240" w:lineRule="auto"/>
        <w:ind w:left="1434" w:hanging="357"/>
        <w:rPr>
          <w:rFonts w:eastAsia="Arial" w:cs="Times New Roman"/>
          <w:color w:val="000000"/>
          <w:szCs w:val="20"/>
        </w:rPr>
      </w:pPr>
      <w:r>
        <w:rPr>
          <w:rFonts w:eastAsia="Arial" w:cs="Times New Roman"/>
          <w:color w:val="000000"/>
          <w:szCs w:val="20"/>
        </w:rPr>
        <w:t>English and Mathematics for Teacher Judgements against the curriculum</w:t>
      </w:r>
    </w:p>
    <w:p w:rsidR="004D2A34" w:rsidP="00046522">
      <w:pPr>
        <w:numPr>
          <w:ilvl w:val="0"/>
          <w:numId w:val="28"/>
        </w:numPr>
        <w:spacing w:after="100" w:line="240" w:lineRule="auto"/>
        <w:ind w:left="1434" w:hanging="357"/>
        <w:rPr>
          <w:rFonts w:eastAsia="Arial" w:cs="Times New Roman"/>
          <w:color w:val="000000"/>
          <w:szCs w:val="20"/>
        </w:rPr>
      </w:pPr>
      <w:r w:rsidRPr="004D2A34">
        <w:rPr>
          <w:rFonts w:eastAsia="Arial" w:cs="Times New Roman"/>
          <w:color w:val="000000"/>
          <w:szCs w:val="20"/>
        </w:rPr>
        <w:t>English and Mathematics for National Literacy and Numeracy tests (NAPLAN)</w:t>
      </w:r>
    </w:p>
    <w:p w:rsidR="002A33F2" w:rsidRPr="002A33F2" w:rsidP="002A33F2">
      <w:pPr>
        <w:numPr>
          <w:ilvl w:val="0"/>
          <w:numId w:val="28"/>
        </w:numPr>
        <w:spacing w:line="240" w:lineRule="auto"/>
        <w:ind w:left="1440"/>
        <w:rPr>
          <w:rFonts w:eastAsia="Arial" w:cs="Times New Roman"/>
          <w:color w:val="000000"/>
          <w:szCs w:val="20"/>
        </w:rPr>
      </w:pPr>
      <w:r w:rsidRPr="002A33F2">
        <w:rPr>
          <w:rFonts w:eastAsia="Arial" w:cs="Times New Roman"/>
          <w:color w:val="000000"/>
          <w:szCs w:val="20"/>
        </w:rPr>
        <w:t>Senior Secondary completions and mean study score</w:t>
      </w:r>
    </w:p>
    <w:p w:rsidR="007F1B5B" w:rsidP="007F1B5B">
      <w:pPr>
        <w:spacing w:line="240" w:lineRule="auto"/>
        <w:ind w:left="720"/>
        <w:rPr>
          <w:rFonts w:eastAsia="Arial" w:cs="Times New Roman"/>
          <w:b/>
          <w:color w:val="000000"/>
          <w:szCs w:val="20"/>
        </w:rPr>
      </w:pPr>
      <w:r>
        <w:rPr>
          <w:rFonts w:eastAsia="Arial" w:cs="Times New Roman"/>
          <w:b/>
          <w:color w:val="000000"/>
          <w:szCs w:val="20"/>
        </w:rPr>
        <w:t>Wellbeing</w:t>
      </w:r>
    </w:p>
    <w:p w:rsidR="007F1B5B" w:rsidP="007F1B5B">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rsidR="007F1B5B" w:rsidP="007F1B5B">
      <w:pPr>
        <w:numPr>
          <w:ilvl w:val="0"/>
          <w:numId w:val="28"/>
        </w:numPr>
        <w:spacing w:after="100" w:line="240" w:lineRule="auto"/>
        <w:ind w:left="1434" w:hanging="357"/>
        <w:rPr>
          <w:rFonts w:eastAsia="Arial" w:cs="Times New Roman"/>
          <w:color w:val="000000"/>
          <w:szCs w:val="20"/>
        </w:rPr>
      </w:pPr>
      <w:r>
        <w:rPr>
          <w:rFonts w:eastAsia="Arial" w:cs="Times New Roman"/>
          <w:color w:val="000000"/>
          <w:szCs w:val="20"/>
        </w:rPr>
        <w:t>Sense of Connectedness</w:t>
      </w:r>
    </w:p>
    <w:p w:rsidR="007F1B5B" w:rsidRPr="007F1B5B" w:rsidP="007F1B5B">
      <w:pPr>
        <w:numPr>
          <w:ilvl w:val="0"/>
          <w:numId w:val="28"/>
        </w:numPr>
        <w:spacing w:line="240" w:lineRule="auto"/>
        <w:ind w:left="1440"/>
        <w:rPr>
          <w:rFonts w:eastAsia="Arial" w:cs="Times New Roman"/>
          <w:color w:val="000000"/>
          <w:szCs w:val="20"/>
        </w:rPr>
      </w:pPr>
      <w:r>
        <w:rPr>
          <w:rFonts w:eastAsia="Arial" w:cs="Times New Roman"/>
          <w:color w:val="000000"/>
          <w:szCs w:val="20"/>
        </w:rPr>
        <w:t>Management of Bullying</w:t>
      </w:r>
    </w:p>
    <w:p w:rsidR="005568AC" w:rsidP="0050417D">
      <w:pPr>
        <w:spacing w:line="240" w:lineRule="auto"/>
        <w:ind w:left="720"/>
        <w:rPr>
          <w:rFonts w:eastAsia="Arial" w:cs="Times New Roman"/>
          <w:b/>
          <w:color w:val="000000"/>
          <w:szCs w:val="20"/>
        </w:rPr>
      </w:pPr>
      <w:r>
        <w:rPr>
          <w:rFonts w:eastAsia="Arial" w:cs="Times New Roman"/>
          <w:b/>
          <w:color w:val="000000"/>
          <w:szCs w:val="20"/>
        </w:rPr>
        <w:t xml:space="preserve">Engagement </w:t>
      </w:r>
    </w:p>
    <w:p w:rsidR="005568AC" w:rsidP="0050417D">
      <w:pPr>
        <w:spacing w:line="240" w:lineRule="auto"/>
        <w:ind w:left="720"/>
        <w:rPr>
          <w:rFonts w:eastAsia="Arial" w:cs="Times New Roman"/>
          <w:color w:val="000000"/>
          <w:szCs w:val="20"/>
        </w:rPr>
      </w:pPr>
      <w:r>
        <w:rPr>
          <w:rFonts w:eastAsia="Arial" w:cs="Times New Roman"/>
          <w:color w:val="000000"/>
          <w:szCs w:val="20"/>
        </w:rPr>
        <w:t>S</w:t>
      </w:r>
      <w:r>
        <w:rPr>
          <w:rFonts w:eastAsia="Arial" w:cs="Times New Roman"/>
          <w:color w:val="000000"/>
          <w:szCs w:val="20"/>
        </w:rPr>
        <w:t>tudent attendance and engagement at school, including:</w:t>
      </w:r>
    </w:p>
    <w:p w:rsidR="005568AC" w:rsidP="00046522">
      <w:pPr>
        <w:numPr>
          <w:ilvl w:val="0"/>
          <w:numId w:val="28"/>
        </w:numPr>
        <w:spacing w:after="100" w:line="240" w:lineRule="auto"/>
        <w:ind w:left="1434" w:hanging="357"/>
        <w:rPr>
          <w:rFonts w:eastAsia="Arial" w:cs="Times New Roman"/>
          <w:color w:val="000000"/>
          <w:szCs w:val="20"/>
        </w:rPr>
      </w:pPr>
      <w:r>
        <w:rPr>
          <w:rFonts w:eastAsia="Arial" w:cs="Times New Roman"/>
          <w:color w:val="000000"/>
          <w:szCs w:val="20"/>
        </w:rPr>
        <w:t xml:space="preserve">how many </w:t>
      </w:r>
      <w:r>
        <w:rPr>
          <w:rFonts w:eastAsia="Arial" w:cs="Times New Roman"/>
          <w:color w:val="000000"/>
          <w:szCs w:val="20"/>
        </w:rPr>
        <w:t>Year</w:t>
      </w:r>
      <w:r>
        <w:rPr>
          <w:rFonts w:eastAsia="Arial" w:cs="Times New Roman"/>
          <w:color w:val="000000"/>
          <w:szCs w:val="20"/>
        </w:rPr>
        <w:t xml:space="preserve"> 7 students remain at the school through to Year 10</w:t>
      </w:r>
    </w:p>
    <w:p w:rsidR="00B010EC" w:rsidP="0050417D">
      <w:pPr>
        <w:numPr>
          <w:ilvl w:val="0"/>
          <w:numId w:val="28"/>
        </w:numPr>
        <w:spacing w:line="240" w:lineRule="auto"/>
        <w:ind w:left="1440"/>
        <w:rPr>
          <w:rFonts w:eastAsia="Arial" w:cs="Times New Roman"/>
          <w:color w:val="000000"/>
          <w:szCs w:val="20"/>
        </w:rPr>
      </w:pPr>
      <w:r>
        <w:rPr>
          <w:rFonts w:eastAsia="Arial" w:cs="Times New Roman"/>
          <w:color w:val="000000"/>
          <w:szCs w:val="20"/>
        </w:rPr>
        <w:t xml:space="preserve">how many exiting students go on to further studies or full-time </w:t>
      </w:r>
      <w:r>
        <w:rPr>
          <w:rFonts w:eastAsia="Arial" w:cs="Times New Roman"/>
          <w:color w:val="000000"/>
          <w:szCs w:val="20"/>
        </w:rPr>
        <w:t>work</w:t>
      </w:r>
    </w:p>
    <w:p w:rsidR="009674DF" w:rsidP="0050417D">
      <w:pPr>
        <w:numPr>
          <w:ilvl w:val="0"/>
          <w:numId w:val="28"/>
        </w:numPr>
        <w:spacing w:line="240" w:lineRule="auto"/>
        <w:ind w:left="1440"/>
        <w:rPr>
          <w:rFonts w:eastAsia="Arial" w:cs="Times New Roman"/>
          <w:color w:val="000000"/>
          <w:szCs w:val="20"/>
        </w:rPr>
      </w:pPr>
      <w:r>
        <w:rPr>
          <w:rFonts w:eastAsia="Arial" w:cs="Times New Roman"/>
          <w:color w:val="000000"/>
          <w:szCs w:val="20"/>
        </w:rPr>
        <w:t>Student attendance at school</w:t>
      </w:r>
    </w:p>
    <w:p w:rsidR="00922D56" w:rsidRPr="002A33F2" w:rsidP="00922D56">
      <w:pPr>
        <w:pStyle w:val="ESBodyText0"/>
        <w:spacing w:before="120" w:after="200" w:line="240" w:lineRule="auto"/>
      </w:pPr>
      <w:r w:rsidRPr="00922D56">
        <w:t xml:space="preserve">Results </w:t>
      </w:r>
      <w:r w:rsidRPr="002A33F2">
        <w:t xml:space="preserve">are displayed for the latest year and the average of the last four years (where available). </w:t>
      </w:r>
    </w:p>
    <w:p w:rsidR="002A33F2" w:rsidRPr="002A33F2" w:rsidP="002A33F2">
      <w:pPr>
        <w:pStyle w:val="ESBodyText0"/>
        <w:spacing w:line="240" w:lineRule="auto"/>
      </w:pPr>
      <w:r w:rsidRPr="002A33F2">
        <w:t xml:space="preserve">Key terms used in the Performance Summary are defined below: </w:t>
      </w:r>
    </w:p>
    <w:p w:rsidR="002A33F2" w:rsidRPr="002A33F2" w:rsidP="002A33F2">
      <w:pPr>
        <w:pStyle w:val="ESBodyText0"/>
        <w:spacing w:line="240" w:lineRule="auto"/>
        <w:rPr>
          <w:b/>
          <w:bCs/>
        </w:rPr>
      </w:pPr>
      <w:r w:rsidRPr="002A33F2">
        <w:rPr>
          <w:b/>
          <w:bCs/>
        </w:rPr>
        <w:t>Similar Schools</w:t>
      </w:r>
    </w:p>
    <w:p w:rsidR="002A33F2" w:rsidRPr="002A33F2" w:rsidP="002A33F2">
      <w:pPr>
        <w:spacing w:line="240" w:lineRule="auto"/>
        <w:rPr>
          <w:rFonts w:eastAsia="Arial"/>
          <w:color w:val="000000"/>
        </w:rPr>
      </w:pPr>
      <w:r w:rsidRPr="002A33F2">
        <w:rPr>
          <w:rFonts w:eastAsia="Arial"/>
          <w:color w:val="000000"/>
        </w:rPr>
        <w:t xml:space="preserve">Similar Schools are a </w:t>
      </w:r>
      <w:r w:rsidRPr="002A33F2">
        <w:rPr>
          <w:rFonts w:eastAsia="Arial" w:cs="Times New Roman"/>
          <w:color w:val="000000"/>
          <w:szCs w:val="20"/>
        </w:rPr>
        <w:t>group</w:t>
      </w:r>
      <w:r w:rsidRPr="002A33F2">
        <w:rPr>
          <w:rFonts w:eastAsia="Arial"/>
          <w:color w:val="000000"/>
        </w:rPr>
        <w:t xml:space="preserve"> of Victorian government schools with similar characteristics to the school.</w:t>
      </w:r>
    </w:p>
    <w:p w:rsidR="002A33F2" w:rsidRPr="002A33F2" w:rsidP="002A33F2">
      <w:pPr>
        <w:pStyle w:val="Body2"/>
        <w:spacing w:after="240" w:line="240" w:lineRule="auto"/>
        <w:rPr>
          <w:rFonts w:eastAsia="Arial"/>
          <w:color w:val="000000"/>
        </w:rPr>
      </w:pPr>
      <w:r w:rsidRPr="002A33F2">
        <w:rPr>
          <w:rFonts w:eastAsia="Arial"/>
          <w:color w:val="000000"/>
        </w:rPr>
        <w:t>This grouping of schools has been created by comparing each school’s socio-economic background of students, the number of non-English speaking students and the school’s size and location.</w:t>
      </w:r>
    </w:p>
    <w:p w:rsidR="002A33F2" w:rsidRPr="002A33F2" w:rsidP="002A33F2">
      <w:pPr>
        <w:pStyle w:val="Body2"/>
        <w:spacing w:after="240" w:line="240" w:lineRule="auto"/>
        <w:rPr>
          <w:rFonts w:eastAsia="Arial"/>
          <w:b/>
          <w:bCs/>
          <w:color w:val="000000"/>
        </w:rPr>
      </w:pPr>
      <w:r w:rsidRPr="002A33F2">
        <w:rPr>
          <w:rFonts w:eastAsia="Arial"/>
          <w:b/>
          <w:bCs/>
          <w:color w:val="000000"/>
        </w:rPr>
        <w:t>NDP and NDA</w:t>
      </w:r>
    </w:p>
    <w:p w:rsidR="002A33F2" w:rsidRPr="002A33F2" w:rsidP="002A33F2">
      <w:pPr>
        <w:spacing w:line="240" w:lineRule="auto"/>
        <w:rPr>
          <w:rFonts w:eastAsia="Arial" w:cs="Times New Roman"/>
          <w:color w:val="000000"/>
          <w:szCs w:val="20"/>
        </w:rPr>
      </w:pPr>
      <w:r w:rsidRPr="002A33F2">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2A33F2" w:rsidRPr="002A33F2" w:rsidP="002A33F2">
      <w:pPr>
        <w:spacing w:line="240" w:lineRule="auto"/>
        <w:rPr>
          <w:rFonts w:eastAsia="Arial" w:cs="Times New Roman"/>
          <w:color w:val="000000"/>
          <w:szCs w:val="20"/>
        </w:rPr>
      </w:pPr>
      <w:r w:rsidRPr="002A33F2">
        <w:rPr>
          <w:rFonts w:eastAsia="Arial" w:cs="Times New Roman"/>
          <w:color w:val="000000"/>
          <w:szCs w:val="20"/>
        </w:rPr>
        <w:t xml:space="preserve">‘NDA’ refers to no data being available. Some schools have no data for </w:t>
      </w:r>
      <w:r w:rsidRPr="002A33F2">
        <w:rPr>
          <w:rFonts w:eastAsia="Arial" w:cs="Times New Roman"/>
          <w:color w:val="000000"/>
          <w:szCs w:val="20"/>
        </w:rPr>
        <w:t>particular measures</w:t>
      </w:r>
      <w:r w:rsidRPr="002A33F2">
        <w:rPr>
          <w:rFonts w:eastAsia="Arial" w:cs="Times New Roman"/>
          <w:color w:val="000000"/>
          <w:szCs w:val="20"/>
        </w:rPr>
        <w:t xml:space="preserve"> due to low enrolments. There may be no students enrolled in some year levels, so school comparisons are not possible.</w:t>
      </w:r>
    </w:p>
    <w:p w:rsidR="002A33F2" w:rsidRPr="002A33F2" w:rsidP="002A33F2">
      <w:pPr>
        <w:pStyle w:val="Body2"/>
        <w:spacing w:after="240" w:line="240" w:lineRule="auto"/>
      </w:pPr>
      <w:r w:rsidRPr="002A33F2">
        <w:rPr>
          <w:rFonts w:eastAsia="Arial" w:cs="Times New Roman"/>
          <w:color w:val="000000"/>
          <w:szCs w:val="20"/>
        </w:rPr>
        <w:t>Note that new schools only have the latest year of data and no comparative data from previous years. T</w:t>
      </w:r>
      <w:r w:rsidRPr="002A33F2">
        <w:t xml:space="preserve">he department also </w:t>
      </w:r>
      <w:r w:rsidRPr="002A33F2">
        <w:t>recognises</w:t>
      </w:r>
      <w:r w:rsidRPr="002A33F2">
        <w:t xml:space="preserve"> unique circumstances in Specialist, Select Entry, English Language, Community </w:t>
      </w:r>
      <w:r w:rsidRPr="002A33F2">
        <w:t>Schools</w:t>
      </w:r>
      <w:r w:rsidRPr="002A33F2">
        <w:t xml:space="preserve"> and schools that changed school type recently, where school-to-school comparisons are not appropriate.</w:t>
      </w:r>
    </w:p>
    <w:p w:rsidR="00A7165A">
      <w:pPr>
        <w:spacing w:after="0" w:line="240" w:lineRule="auto"/>
        <w:rPr>
          <w:rFonts w:eastAsia="Arial"/>
          <w:b/>
          <w:bCs/>
          <w:color w:val="000000"/>
        </w:rPr>
      </w:pPr>
      <w:r>
        <w:rPr>
          <w:rFonts w:eastAsia="Arial"/>
          <w:b/>
          <w:bCs/>
          <w:color w:val="000000"/>
        </w:rPr>
        <w:br w:type="page"/>
      </w:r>
    </w:p>
    <w:p w:rsidR="002A33F2" w:rsidRPr="002A33F2" w:rsidP="002A33F2">
      <w:pPr>
        <w:spacing w:line="240" w:lineRule="auto"/>
        <w:rPr>
          <w:rFonts w:eastAsia="Arial"/>
          <w:b/>
          <w:bCs/>
          <w:color w:val="000000"/>
        </w:rPr>
      </w:pPr>
      <w:r w:rsidRPr="002A33F2">
        <w:rPr>
          <w:rFonts w:eastAsia="Arial"/>
          <w:b/>
          <w:bCs/>
          <w:color w:val="000000"/>
        </w:rPr>
        <w:t>The Victorian Curriculum</w:t>
      </w:r>
    </w:p>
    <w:p w:rsidR="002A33F2" w:rsidRPr="002A33F2" w:rsidP="002A33F2">
      <w:pPr>
        <w:spacing w:line="240" w:lineRule="auto"/>
        <w:rPr>
          <w:rFonts w:eastAsia="Arial"/>
          <w:color w:val="000000"/>
        </w:rPr>
      </w:pPr>
      <w:r w:rsidRPr="002A33F2">
        <w:rPr>
          <w:rFonts w:eastAsia="Arial"/>
          <w:color w:val="000000"/>
        </w:rPr>
        <w:t xml:space="preserve">The Victorian Curriculum F–10 sets out what every student should learn during his or her first eleven years of schooling. The curriculum is the common set of knowledge and skills required by students for life-long learning, social </w:t>
      </w:r>
      <w:r w:rsidRPr="002A33F2">
        <w:rPr>
          <w:rFonts w:eastAsia="Arial"/>
          <w:color w:val="000000"/>
        </w:rPr>
        <w:t>development</w:t>
      </w:r>
      <w:r w:rsidRPr="002A33F2">
        <w:rPr>
          <w:rFonts w:eastAsia="Arial"/>
          <w:color w:val="000000"/>
        </w:rPr>
        <w:t xml:space="preserve"> and active and informed citizenship.</w:t>
      </w:r>
    </w:p>
    <w:p w:rsidR="002A33F2" w:rsidRPr="002A33F2" w:rsidP="002A33F2">
      <w:pPr>
        <w:spacing w:line="240" w:lineRule="auto"/>
        <w:rPr>
          <w:rFonts w:eastAsia="Arial"/>
          <w:color w:val="000000"/>
        </w:rPr>
      </w:pPr>
      <w:r w:rsidRPr="002A33F2">
        <w:rPr>
          <w:rFonts w:eastAsia="Arial"/>
          <w:color w:val="000000"/>
        </w:rPr>
        <w:t>The Victorian Curriculum is assessed through teacher judgements of student achievement based on classroom learning.</w:t>
      </w:r>
    </w:p>
    <w:p w:rsidR="002A33F2" w:rsidRPr="002A33F2" w:rsidP="002A33F2">
      <w:pPr>
        <w:spacing w:line="240" w:lineRule="auto"/>
      </w:pPr>
      <w:r w:rsidRPr="002A33F2">
        <w:rPr>
          <w:rFonts w:eastAsia="Arial"/>
          <w:color w:val="000000"/>
        </w:rPr>
        <w:t>The curriculum has been developed to ensure that school subjects and their achievement standards enable continuous learning for all students, including students with disabilities.</w:t>
      </w:r>
    </w:p>
    <w:p w:rsidR="002A33F2" w:rsidRPr="002A33F2" w:rsidP="002A33F2">
      <w:pPr>
        <w:spacing w:line="240" w:lineRule="auto"/>
        <w:rPr>
          <w:rFonts w:eastAsia="Arial"/>
          <w:color w:val="000000"/>
        </w:rPr>
      </w:pPr>
      <w:r w:rsidRPr="002A33F2">
        <w:rPr>
          <w:rFonts w:eastAsia="Arial"/>
          <w:color w:val="000000"/>
        </w:rPr>
        <w:t>The ‘Towards Foundation Level Victorian Curriculum’ is integrated directly into the curriculum and is referred to as ‘Levels A to D’.</w:t>
      </w:r>
    </w:p>
    <w:p w:rsidR="002A33F2" w:rsidRPr="002A33F2" w:rsidP="002A33F2">
      <w:pPr>
        <w:spacing w:line="240" w:lineRule="auto"/>
        <w:rPr>
          <w:rFonts w:eastAsia="Arial"/>
          <w:color w:val="000000"/>
        </w:rPr>
      </w:pPr>
      <w:r w:rsidRPr="002A33F2">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2A33F2" w:rsidRPr="002A33F2" w:rsidP="002A33F2">
      <w:pPr>
        <w:pStyle w:val="Style10"/>
        <w:spacing w:before="0" w:after="120"/>
      </w:pPr>
      <w:r w:rsidRPr="002A33F2">
        <w:t>Updates to the ‘</w:t>
      </w:r>
      <w:r w:rsidRPr="002A33F2">
        <w:rPr>
          <w:i/>
          <w:iCs/>
        </w:rPr>
        <w:t>Performance Summary’</w:t>
      </w:r>
      <w:r w:rsidRPr="002A33F2">
        <w:t xml:space="preserve"> in the 2023 Annual Report</w:t>
      </w:r>
    </w:p>
    <w:p w:rsidR="002A33F2" w:rsidRPr="002A33F2" w:rsidP="002A33F2">
      <w:pPr>
        <w:pStyle w:val="ESBodyText0"/>
        <w:spacing w:line="240" w:lineRule="auto"/>
      </w:pPr>
      <w:r w:rsidRPr="002A33F2">
        <w:t xml:space="preserve">Reporting on the following measures has been updated in the 2023 Annual Report to align with changes to departmental and public reporting products. </w:t>
      </w:r>
    </w:p>
    <w:p w:rsidR="002A33F2" w:rsidRPr="002A33F2" w:rsidP="002A33F2">
      <w:pPr>
        <w:pStyle w:val="ESBodyText0"/>
        <w:spacing w:line="240" w:lineRule="auto"/>
      </w:pPr>
      <w:r w:rsidRPr="002A33F2">
        <w:rPr>
          <w:b/>
          <w:bCs/>
        </w:rPr>
        <w:t>NAPLAN</w:t>
      </w:r>
      <w:r w:rsidRPr="002A33F2">
        <w:br/>
      </w:r>
      <w:r w:rsidRPr="002A33F2">
        <w:br/>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w:instrText>
      </w:r>
      <w:r>
        <w:fldChar w:fldCharType="separate"/>
      </w:r>
      <w:r w:rsidRPr="002A33F2">
        <w:rPr>
          <w:rStyle w:val="Hyperlink"/>
        </w:rPr>
        <w:t>Results and Reports</w:t>
      </w:r>
      <w:r>
        <w:fldChar w:fldCharType="end"/>
      </w:r>
      <w:r w:rsidRPr="002A33F2">
        <w:t xml:space="preserve">’ page. </w:t>
      </w:r>
    </w:p>
    <w:p w:rsidR="002A33F2" w:rsidRPr="002A33F2" w:rsidP="002A33F2">
      <w:pPr>
        <w:pStyle w:val="ESBodyText0"/>
        <w:spacing w:line="240" w:lineRule="auto"/>
      </w:pPr>
      <w:r w:rsidRPr="002A33F2">
        <w:t>In line with these changes, the NAPLAN section of the Performance Summary includes data on both 2022 and 2023 NAPLAN results. Please note that results from 2022 and 2023 are not comparable.</w:t>
      </w:r>
      <w:r w:rsidRPr="002A33F2">
        <w:t xml:space="preserve"> </w:t>
      </w:r>
    </w:p>
    <w:p w:rsidR="002A33F2" w:rsidRPr="002A33F2" w:rsidP="002A33F2">
      <w:pPr>
        <w:pStyle w:val="ESBodyText0"/>
        <w:spacing w:line="240" w:lineRule="auto"/>
      </w:pPr>
      <w:r w:rsidRPr="002A33F2">
        <w:t xml:space="preserve">The 2023 NAPLAN section reports on the percentage of students in the Strong or Exceeding proficiency levels. The 2022 NAPLAN section reports on the percentage of students in the top three bands. </w:t>
      </w:r>
    </w:p>
    <w:p w:rsidR="002A33F2" w:rsidRPr="002A33F2" w:rsidP="002A33F2">
      <w:pPr>
        <w:pStyle w:val="ESBodyText0"/>
        <w:spacing w:after="200" w:line="240" w:lineRule="auto"/>
      </w:pPr>
      <w:r w:rsidRPr="002A33F2">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rsidR="002A33F2" w:rsidRPr="002A33F2" w:rsidP="002A33F2">
      <w:pPr>
        <w:pStyle w:val="ESBodyText0"/>
        <w:spacing w:line="240" w:lineRule="auto"/>
        <w:rPr>
          <w:b/>
          <w:bCs/>
        </w:rPr>
      </w:pPr>
      <w:r w:rsidRPr="002A33F2">
        <w:rPr>
          <w:b/>
          <w:bCs/>
        </w:rPr>
        <w:t xml:space="preserve">Parent/Caregiver/Guardian Opinion Survey, School Staff </w:t>
      </w:r>
      <w:r w:rsidRPr="002A33F2">
        <w:rPr>
          <w:b/>
          <w:bCs/>
        </w:rPr>
        <w:t>Survey</w:t>
      </w:r>
      <w:r w:rsidRPr="002A33F2">
        <w:rPr>
          <w:b/>
          <w:bCs/>
        </w:rPr>
        <w:t xml:space="preserve"> and the Attitudes to School Survey</w:t>
      </w:r>
    </w:p>
    <w:p w:rsidR="002A33F2" w:rsidRPr="002A33F2" w:rsidP="002A33F2">
      <w:pPr>
        <w:pStyle w:val="ESBodyText0"/>
        <w:spacing w:line="240" w:lineRule="auto"/>
      </w:pPr>
      <w:r w:rsidRPr="002A33F2">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rsidR="002A33F2" w:rsidRPr="002A33F2" w:rsidP="002A33F2">
      <w:pPr>
        <w:pStyle w:val="ESBodyText0"/>
        <w:spacing w:line="240" w:lineRule="auto"/>
      </w:pPr>
      <w:r w:rsidRPr="002A33F2">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rsidR="002A33F2" w:rsidRPr="002A33F2" w:rsidP="002A33F2">
      <w:pPr>
        <w:pStyle w:val="ESBodyText0"/>
        <w:spacing w:line="240" w:lineRule="auto"/>
        <w:rPr>
          <w:b/>
          <w:bCs/>
        </w:rPr>
      </w:pPr>
      <w:r w:rsidRPr="002A33F2">
        <w:rPr>
          <w:b/>
          <w:bCs/>
        </w:rPr>
        <w:t xml:space="preserve">Victorian Senior Secondary Certificate </w:t>
      </w:r>
    </w:p>
    <w:p w:rsidR="002A33F2" w:rsidP="002A33F2">
      <w:pPr>
        <w:pStyle w:val="ESBodyText0"/>
        <w:spacing w:line="240" w:lineRule="auto"/>
      </w:pPr>
      <w:r w:rsidRPr="002A33F2">
        <w:t>The Victorian Senior Secondary Certificate section has been revised to include the newly introduced VCE Vocational Major (VM) and the Victorian Pathways Certificate (VPC). This section reports on the Victorian Senior Secondary Certificate completion rate, which includes VCE and VCE VM students at the School, Similar School, and State level. Additionally, two new measures will report the number of students that were awarded either the VCE Vocational Major or the Victorian Pathways Certificate.</w:t>
      </w:r>
    </w:p>
    <w:p w:rsidR="003F425B" w:rsidP="0050417D">
      <w:pPr>
        <w:spacing w:line="240" w:lineRule="auto"/>
        <w:sectPr w:rsidSect="002334ED">
          <w:headerReference w:type="default" r:id="rId15"/>
          <w:footerReference w:type="default" r:id="rId16"/>
          <w:headerReference w:type="first" r:id="rId17"/>
          <w:pgSz w:w="11900" w:h="16840"/>
          <w:pgMar w:top="1276" w:right="567" w:bottom="709" w:left="567" w:header="142" w:footer="325" w:gutter="0"/>
          <w:cols w:space="397"/>
          <w:docGrid w:linePitch="360"/>
        </w:sectPr>
      </w:pPr>
      <w:r>
        <w:br w:type="page"/>
      </w:r>
    </w:p>
    <w:p w:rsidR="0038585D" w:rsidRPr="00EA76EA" w:rsidP="004A27D4">
      <w:pPr>
        <w:ind w:left="-567" w:right="-632"/>
        <w:rPr>
          <w:b/>
          <w:color w:val="AF272F"/>
          <w:sz w:val="32"/>
          <w:szCs w:val="32"/>
          <w:lang w:val="en-AU"/>
        </w:rPr>
      </w:pPr>
      <w:r w:rsidRPr="00EA76EA">
        <w:rPr>
          <w:b/>
          <w:color w:val="AF272F"/>
          <w:sz w:val="36"/>
          <w:szCs w:val="44"/>
          <w:lang w:val="en-AU"/>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6A3A85">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b/>
                <w:bCs w:val="0"/>
                <w:szCs w:val="24"/>
                <w:lang w:val="en-AU"/>
              </w:rPr>
            </w:pPr>
            <w:r w:rsidRPr="00EA76EA">
              <w:rPr>
                <w:b/>
                <w:bCs w:val="0"/>
                <w:szCs w:val="24"/>
                <w:lang w:val="en-AU"/>
              </w:rPr>
              <w:t>School context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Monterey Secondary College, along with the two government Primary Schools in Frankston North form the Frankston North Education Plan (FNEP). The FNEP is leading the transformation of opportunities for this community through an approach to education focusing on birth through to adulthood. The schools also act as the platform for the delivery of many health and welfare services and open their facilities for extensive community use. The vision of the Frankston North Education Plan is that “Every child and family is successful in learning and life.”  </w:t>
            </w:r>
          </w:p>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Across the schools, we embrace three expectations, Be Safe, Be Respectful and Be a Learner. These expectations are valued by our staff and students and have been pivotal in ensuring a calm and orderly learning environment.  </w:t>
            </w:r>
          </w:p>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In 2023 the College’s SFOE was 0.6419. The enrolment was 375 students. The staffing profile of Monterey SC included a Principal and five Assistant Principals, four learning specialists (3.6 EFT), four leading teachers, 17 Teachers, 11 Paraprofessionals (10.4 EFT) Paraprofessionals, 30 Education Support and Administration staff and 2 instrumental music teachers.   The school is now experiencing sustained enrolment growth enabling our educational programs to grow in depth and breadth. To manage the growth, the school is forward planning around the additions and improvements to a number of classroom and outdoor spaces. The enrolment growth supports the view that the community perception of Monterey Secondary College is rapidly improving.   </w:t>
            </w:r>
          </w:p>
          <w:p w:rsidR="00777DB2" w:rsidRPr="008E7831"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b w:val="0"/>
                <w:szCs w:val="20"/>
                <w:lang w:val="en-AU"/>
              </w:rPr>
            </w:pPr>
            <w:r w:rsidRPr="00EA76EA">
              <w:rPr>
                <w:bCs/>
                <w:color w:val="C00000"/>
                <w:szCs w:val="20"/>
                <w:lang w:val="en-AU"/>
              </w:rPr>
              <w:t>Learning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evidence (survey data and NAPLAN data) suggest that when we apply a strong focus in particular areas, positive results follow. Reading has been an unwavering focus from 2020 for us. Numeracy has had an increased focus during 2023, but the impact of that wasn't evident in NAPLAN due to the test occurring in Term 1. The culture and conditions are set for improved outcomes in the coming years.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NAPLAN Year 9 Reading results for students attaining Strong or Exceeding were 52% of our cohort, exceeding similar schools (47%) and placing us inside the Top 10 of the 31 grouped Similar Schools.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Our VCE Median Study Score of 25 was the fourth highest score across the previous 10 years, and was the equal second highest within the Northern Peninsula Network.</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100% of our VCE students completed at least one VET Unit of Competency, compared to 33.9% of the State. Our VCE program is now made up of 40.8% VET, compared to 6.3% of the State.</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96.3% of our students completed the VCE or VCE Vocational Major.</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szCs w:val="20"/>
                <w:lang w:val="en-AU"/>
              </w:rPr>
              <w:t>Wellbeing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School Strategic Plan has targets of 65% Positive Endorsement for ‘Sense of Connectedness’ 75% Positive Endorsement for ‘Emotional Awareness and Regulation’ and 70% Positive Endorsement for ‘Teacher Concern’ in the Students' Attitude to School Survey by 2025.</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the following results were achieved, ‘Sense of Connectedness’ 69%, 70% ‘Emotional Awareness and Regulation’, ‘Teacher Concern’ 67%.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Throughout 2023, we acknowledged that for our staff to support students well, we needed to support our staff well. We ran a series of surveys, staff forums and committees to learn more about ‘positive-staff-wellbeing’. Through this work, we’ve moved towards meeting the School Strategic Plan targets from the School Staff Survey.</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Targets are 60% Positive Endorsement for ‘Trust in Students and Parents’, 70% Positive Endorsement for ‘Parent and Community Engagement’ and 75% Positive Endorsement for ‘Teacher Collaboration’.</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the following results were achieved, ‘Trust in Students and Parents’ 46% (Similar Schools Average 32%), 84% ‘Parent and Community Engagement (State Average 65%), 66% ‘Teacher Collaboration’ (49% State Average). </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lang w:val="en-AU"/>
              </w:rPr>
              <w:t>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School Strategic Plan 2021 - 2025 includes aims to build student engagement and ownership of their learning. Our view is that students will be most engaged when they value what they are learning and have a degree of autonomy within that learning.   Depending on each student's age, stage and engagement, the program they complete will fit their individual needs. For our most vulnerable students, this may be enrolment in one of our Engagement programs, including Outreach, Classroom Connect or Activate. Our most engaged and academically capable  students will typically complete a more ‘mainstream’ course with a range of choices embedded within it.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School Strategic Plan has targets of 70% Positive Endorsement for ‘Stimulated Learning’ 65% Positive Endorsement for ‘Student Voice and Agency’, 70% Positive Endorsement for ‘Self-Regulation and Goal Setting’, 70% Positive Endorsement for ‘Sense of Confidence and 65% Positive Endorsement for Managing Bullying in the Students Attitude to School Survey by 2025.</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the following results were achieved, ‘Stimulated Learning’ 76% (State average 50%), 63% ‘Student Voice and Agency’ (40% State Average), 65% ‘Self Regulation and Goal Setting’ (57% State Average), ‘Sense of Confidence’ 66% (State average 56%), and 70% ‘Managing Bullying (State average 47%)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52% of students missed more than 20 days of school and 40% of students missed more than 30. Whilst this number is shocking, it’s similar to the 2019 rates of absence which saw 48% of students miss more than 20 days of school and 35% of students miss more than 20 days of school.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school has become a leader in engagement, and is a part of numerous working parties to support vulnerable students. </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Other highlights from the school year</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Noting the global teacher shortages, we were intentional in ensuring that our School Culture had a focus on staff retention; in other words, ensuring that our staff felt valued by the school, as such, we put our focus into supporting, connecting and celebrating with our staff.</w:t>
            </w:r>
            <w:r w:rsidRPr="00EA76EA">
              <w:rPr>
                <w:rStyle w:val="DefaultParagraphFont"/>
                <w:b w:val="0"/>
                <w:color w:val="auto"/>
                <w:sz w:val="18"/>
              </w:rPr>
              <w:br/>
            </w:r>
            <w:r w:rsidRPr="00EA76EA">
              <w:rPr>
                <w:rStyle w:val="DefaultParagraphFont"/>
                <w:b w:val="0"/>
                <w:color w:val="auto"/>
                <w:sz w:val="18"/>
              </w:rPr>
              <w:t>Particular highlights relating to school culture were:</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Eight of our teachers celebrated in the News Corp series on Australia's Best Teachers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One of our teachers being awarded with the Schools Plus Early Careers Teacher Scholarship</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A whole-staff curriculum day at Willum Warrain Aboriginal Association in Hastings</w:t>
            </w:r>
          </w:p>
          <w:p w:rsidR="00777DB2" w:rsidRPr="00EA76EA" w:rsidP="00994A0F">
            <w:pPr>
              <w:pStyle w:val="Heading3"/>
              <w:numPr>
                <w:ilvl w:val="0"/>
                <w:numId w:val="27"/>
              </w:numPr>
              <w:spacing w:before="0" w:after="0"/>
              <w:ind w:left="720" w:hanging="183"/>
              <w:rPr>
                <w:rStyle w:val="DefaultParagraphFont"/>
                <w:b w:val="0"/>
                <w:color w:val="auto"/>
                <w:sz w:val="18"/>
                <w:szCs w:val="18"/>
              </w:rPr>
            </w:pPr>
            <w:r w:rsidRPr="00EA76EA">
              <w:rPr>
                <w:rStyle w:val="DefaultParagraphFont"/>
                <w:b w:val="0"/>
                <w:color w:val="auto"/>
                <w:sz w:val="18"/>
              </w:rPr>
              <w:t>A whole-staff wellbeing day at The Ranch, focusing on connecting, reflecting and replenishing</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Pleasingly, our retention of staff during 2023 was significantly higher than the typical school in 2023.</w:t>
            </w:r>
          </w:p>
          <w:p w:rsidR="00777DB2" w:rsidRPr="00EA76EA" w:rsidP="00994A0F">
            <w:pPr>
              <w:pStyle w:val="Heading3"/>
              <w:spacing w:before="0" w:after="0"/>
              <w:jc w:val="both"/>
              <w:rPr>
                <w:rStyle w:val="DefaultParagraphFont"/>
                <w:b w:val="0"/>
                <w:color w:val="auto"/>
                <w:sz w:val="18"/>
                <w:szCs w:val="18"/>
              </w:rPr>
            </w:pPr>
            <w:r w:rsidRPr="00EA76EA">
              <w:rPr>
                <w:rStyle w:val="DefaultParagraphFont"/>
                <w:b w:val="0"/>
                <w:color w:val="auto"/>
                <w:sz w:val="18"/>
              </w:rPr>
              <w:t>Further, we were chosen by the Department of Education to be a part of a Regional Action Plan on Reducing Early Leavers, this Action Plan aligned with our priorities and we boosted the retention of our students from Year 9 to Year 12 from an average of 70% from 2020-2022, to 78% in 2023. More importantly, of those students who were early leavers, 81% went into further training or full time work, up from an average of 48% from 2020-2022.</w:t>
            </w:r>
          </w:p>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Financial performance</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Monterey Secondary College saw a great improvement in its financial situation, ending the year with an SRP deficit of $84,466, a significant reduction from the projected $728,235. This positive change was partly due to increased Disability Inclusion Profile funding over the course of the year, the Teach Today, Teach Tomorrow initiative, and the college experiencing a boost in enrolments, increasing from the expected 350 to 375 students. Throughout the year, the college secured various grants and funding sources. $47,000.00 in cash was received from Active School Grants, earmarked for PE, sports, and extracurricular activities. Additionally, $305,714.29 in cash was allocated for the VET Delivery to School Students program, covering both program costs and staffing. Furthermore, $432,475.60 in cash was obtained for equity funding, specifically designated for essential curriculum resources and staffing requirements.</w:t>
            </w:r>
          </w:p>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EA76EA" w:rsidP="00C71E7A">
            <w:pPr>
              <w:pStyle w:val="Heading3"/>
              <w:spacing w:before="0" w:after="0"/>
              <w:rPr>
                <w:b w:val="0"/>
                <w:sz w:val="18"/>
                <w:lang w:val="en-AU"/>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"https://monterey.vic.edu.au/" </w:instrText>
            </w:r>
            <w:r>
              <w:rPr>
                <w:rFonts w:eastAsia="Arial"/>
                <w:b/>
                <w:bCs/>
                <w:sz w:val="22"/>
                <w:szCs w:val="22"/>
              </w:rPr>
              <w:fldChar w:fldCharType="separate"/>
            </w:r>
            <w:r>
              <w:rPr>
                <w:rFonts w:eastAsia="Arial"/>
                <w:b/>
                <w:bCs/>
                <w:color w:val="0000EE"/>
                <w:sz w:val="22"/>
                <w:szCs w:val="22"/>
                <w:u w:val="single"/>
              </w:rPr>
              <w:t>https://monterey.vic.edu.au/</w:t>
            </w:r>
            <w:r>
              <w:rPr>
                <w:rFonts w:eastAsia="Arial"/>
                <w:b/>
                <w:bCs/>
                <w:color w:val="0000EE"/>
                <w:sz w:val="22"/>
                <w:szCs w:val="22"/>
                <w:u w:val="single"/>
              </w:rPr>
              <w:fldChar w:fldCharType="end"/>
            </w:r>
          </w:p>
          <w:p/>
        </w:tc>
      </w:tr>
    </w:tbl>
    <w:p w:rsidR="005E684F" w:rsidRPr="00EA76EA" w:rsidP="00F73E5D">
      <w:pPr>
        <w:ind w:right="-632"/>
        <w:rPr>
          <w:b/>
          <w:color w:val="AF272F"/>
          <w:sz w:val="36"/>
          <w:szCs w:val="44"/>
          <w:lang w:val="en-AU"/>
        </w:rPr>
        <w:sectPr w:rsidSect="0095453E">
          <w:headerReference w:type="default" r:id="rId18"/>
          <w:footerReference w:type="default" r:id="rId19"/>
          <w:headerReference w:type="first" r:id="rId20"/>
          <w:pgSz w:w="11906" w:h="16838" w:code="9"/>
          <w:pgMar w:top="709" w:right="1134" w:bottom="1701" w:left="1134" w:header="0" w:footer="709" w:gutter="0"/>
          <w:cols w:space="397"/>
          <w:docGrid w:linePitch="360"/>
        </w:sectPr>
      </w:pPr>
    </w:p>
    <w:p w:rsidR="009E6D61" w:rsidP="00B637FF">
      <w:pPr>
        <w:pStyle w:val="Title"/>
      </w:pPr>
      <w:r>
        <w:t>Performance Summary</w:t>
      </w:r>
    </w:p>
    <w:p w:rsidR="00707E7C" w:rsidRPr="00707E7C" w:rsidP="00707E7C">
      <w:pPr>
        <w:pStyle w:val="ESBodyText0"/>
      </w:pPr>
      <w:r w:rsidRPr="00707E7C">
        <w:t>The Performance Summary for government schools provides an overview of how this school is contributing to the objectives of the Education State and how it compares to other Victorian government schools.</w:t>
      </w:r>
    </w:p>
    <w:p w:rsidR="00707E7C" w:rsidRPr="00707E7C" w:rsidP="00707E7C">
      <w:pPr>
        <w:pStyle w:val="ESBodyText0"/>
      </w:pPr>
      <w:r w:rsidRPr="00707E7C">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707E7C" w:rsidP="00707E7C">
      <w:pPr>
        <w:pStyle w:val="ESBodyText0"/>
      </w:pPr>
      <w:r w:rsidRPr="00707E7C">
        <w:t>Refer to the ‘How to read the Annual Report’ section for help on how to interpret this report.</w:t>
      </w:r>
    </w:p>
    <w:p w:rsidR="009E6D61" w:rsidP="00B637FF">
      <w:pPr>
        <w:pStyle w:val="Style10"/>
      </w:pPr>
      <w:r>
        <w:t>SCHOOL PROFILE</w:t>
      </w:r>
    </w:p>
    <w:p w:rsidR="009E6D61" w:rsidP="00B637FF">
      <w:pPr>
        <w:pStyle w:val="ESHeading30"/>
      </w:pPr>
      <w:r>
        <w:t>Enrolment Profile</w:t>
      </w:r>
    </w:p>
    <w:p w:rsidR="009E6D61">
      <w:pPr>
        <w:pStyle w:val="ESBodyText0"/>
      </w:pPr>
      <w:r>
        <w:t xml:space="preserve">A total of </w:t>
      </w:r>
      <w:r>
        <w:t xml:space="preserve"> 376</w:t>
      </w:r>
      <w:r>
        <w:t xml:space="preserve"> students were enrolled at this school in </w:t>
      </w:r>
      <w:r>
        <w:t>2023</w:t>
      </w:r>
      <w:r>
        <w:t xml:space="preserve">, </w:t>
      </w:r>
      <w:r>
        <w:t xml:space="preserve"> 192</w:t>
      </w:r>
      <w:r>
        <w:t xml:space="preserve"> female and </w:t>
      </w:r>
      <w:r>
        <w:t xml:space="preserve"> 184</w:t>
      </w:r>
      <w:r>
        <w:t xml:space="preserve"> male.</w:t>
      </w:r>
    </w:p>
    <w:p w:rsidR="009E6D61">
      <w:pPr>
        <w:pStyle w:val="ESBodyText0"/>
      </w:pPr>
      <w:r>
        <w:t>5</w:t>
      </w:r>
      <w:r w:rsidR="007567CF">
        <w:t xml:space="preserve"> percent of students had English as an additional language and </w:t>
      </w:r>
      <w:r>
        <w:t>9</w:t>
      </w:r>
      <w:r w:rsidR="007567CF">
        <w:t xml:space="preserve"> percent were Aboriginal or Torres Strait Islander.</w:t>
      </w:r>
    </w:p>
    <w:p w:rsidR="009E6D61" w:rsidRPr="001C6AF2" w:rsidP="00742BDA">
      <w:pPr>
        <w:pStyle w:val="ESHeading30"/>
        <w:spacing w:before="360"/>
        <w:rPr>
          <w:color w:val="AF272F"/>
        </w:rPr>
      </w:pPr>
      <w:r w:rsidRPr="001C6AF2">
        <w:t>Overall Socio-Economic Profile</w:t>
      </w:r>
    </w:p>
    <w:p w:rsidR="009E6D61" w:rsidRPr="001C6AF2">
      <w:pPr>
        <w:pStyle w:val="ESBodyText0"/>
      </w:pPr>
      <w:r w:rsidRPr="001C6AF2">
        <w:t>The overall school’s socio-economic profile is based on the school's Student Family Occupation and Education index (SFOE).</w:t>
      </w:r>
    </w:p>
    <w:p w:rsidR="009E6D61" w:rsidRPr="001C6AF2">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B637FF">
      <w:pPr>
        <w:pStyle w:val="ESBodyText0"/>
      </w:pPr>
      <w:r w:rsidRPr="001C6AF2">
        <w:t xml:space="preserve">This school’s </w:t>
      </w:r>
      <w:r w:rsidR="006950FE">
        <w:t>SFOE</w:t>
      </w:r>
      <w:r w:rsidRPr="001C6AF2">
        <w:t xml:space="preserve"> band value is: </w:t>
      </w:r>
      <w:r>
        <w:t>High</w:t>
      </w:r>
    </w:p>
    <w:p w:rsidR="009E6D61" w:rsidRPr="004777FF" w:rsidP="00742BDA">
      <w:pPr>
        <w:pStyle w:val="ESHeading30"/>
        <w:spacing w:before="360"/>
        <w:rPr>
          <w:color w:val="auto"/>
        </w:rPr>
      </w:pPr>
      <w:r>
        <w:t>Parent Satisfaction Summary</w:t>
      </w:r>
    </w:p>
    <w:p w:rsidR="00992F6F" w:rsidP="00992F6F">
      <w:pPr>
        <w:pStyle w:val="ESBodyText0"/>
      </w:pPr>
      <w:bookmarkStart w:id="0" w:name="_Hlk156969784"/>
      <w:r w:rsidRPr="00992F6F">
        <w:t xml:space="preserve">The percentage endorsement by parents on </w:t>
      </w:r>
      <w:r w:rsidR="008D08E7">
        <w:t xml:space="preserve">their </w:t>
      </w:r>
      <w:r w:rsidRPr="00992F6F">
        <w:t>General School Satisfaction, as reported in the annual Parent/Caregiver/Guardian Opinion Survey.</w:t>
      </w:r>
    </w:p>
    <w:p w:rsidR="009E6D61" w:rsidP="00DF5E8D">
      <w:pPr>
        <w:pStyle w:val="ESBodyText0"/>
        <w:spacing w:after="360"/>
      </w:pPr>
      <w:bookmarkEnd w:id="0"/>
      <w:r>
        <w:rPr>
          <w:noProof/>
        </w:rPr>
        <w:drawing>
          <wp:anchor distT="0" distB="0" distL="114300" distR="114300" simplePos="0" relativeHeight="25166950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DF5E8D">
        <w:t>P</w:t>
      </w:r>
      <w:r w:rsidR="007567CF">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pPr>
              <w:pStyle w:val="ESBodyText0"/>
              <w:rPr>
                <w:b/>
                <w:bCs/>
              </w:rPr>
            </w:pPr>
            <w:r w:rsidRPr="00DF5E8D">
              <w:rPr>
                <w:b/>
                <w:bCs/>
              </w:rPr>
              <w:t>Parent Satisfaction</w:t>
            </w:r>
          </w:p>
        </w:tc>
        <w:tc>
          <w:tcPr>
            <w:tcW w:w="1139" w:type="dxa"/>
            <w:vAlign w:val="bottom"/>
          </w:tcPr>
          <w:p w:rsidR="00DF5E8D" w:rsidRPr="00E346A0" w:rsidP="00DF5E8D">
            <w:pPr>
              <w:pStyle w:val="ESBodyText0"/>
              <w:jc w:val="center"/>
              <w:rPr>
                <w:b/>
                <w:bCs/>
              </w:rPr>
            </w:pPr>
            <w:r w:rsidRPr="001B1C12">
              <w:t>Latest year (202</w:t>
            </w:r>
            <w:r w:rsidR="00992F6F">
              <w:t>3</w:t>
            </w:r>
            <w:r w:rsidRPr="001B1C12">
              <w:t>)</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School percent</w:t>
            </w:r>
            <w:r w:rsidR="00992F6F">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DF5E8D">
            <w:pPr>
              <w:pStyle w:val="ESBodyText0"/>
              <w:jc w:val="center"/>
            </w:pPr>
            <w:r>
              <w:t>83.5%</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State average</w:t>
            </w:r>
            <w:r w:rsidR="00DB021B">
              <w:t xml:space="preserve"> (secondary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DF5E8D">
            <w:pPr>
              <w:pStyle w:val="ESBodyText0"/>
              <w:jc w:val="center"/>
            </w:pPr>
            <w:r>
              <w:t>73.1%</w:t>
            </w:r>
          </w:p>
        </w:tc>
      </w:tr>
    </w:tbl>
    <w:p w:rsidR="00001860" w:rsidP="00B55D76">
      <w:pPr>
        <w:pStyle w:val="ESBodyText0"/>
        <w:spacing w:after="0" w:line="240" w:lineRule="auto"/>
      </w:pPr>
    </w:p>
    <w:p w:rsidR="009E6D61" w:rsidRPr="00742BDA" w:rsidP="00B637FF">
      <w:pPr>
        <w:pStyle w:val="ESHeading30"/>
        <w:rPr>
          <w:color w:val="auto"/>
        </w:rPr>
      </w:pPr>
      <w:r>
        <w:t>School Staff Survey</w:t>
      </w:r>
    </w:p>
    <w:p w:rsidR="009E6D61">
      <w:pPr>
        <w:pStyle w:val="ESBodyText0"/>
      </w:pPr>
      <w:r>
        <w:t>The percent</w:t>
      </w:r>
      <w:r w:rsidR="00992F6F">
        <w:t>age</w:t>
      </w:r>
      <w:r>
        <w:t xml:space="preserve"> endorsement by staff on School Climate, as reported in the annual School Staff Survey.</w:t>
      </w:r>
    </w:p>
    <w:p w:rsidR="009E6D61">
      <w:pPr>
        <w:pStyle w:val="ESBodyText0"/>
      </w:pPr>
      <w:r>
        <w:t>Percent</w:t>
      </w:r>
      <w:r w:rsidR="00992F6F">
        <w:t>age</w:t>
      </w:r>
      <w:r>
        <w:t xml:space="preserve"> endorsement indicates the percent of positive responses (agree or strongly agree) from staff who responded to the survey.</w:t>
      </w:r>
    </w:p>
    <w:p w:rsidR="009E6D61" w:rsidP="00DF5E8D">
      <w:pPr>
        <w:pStyle w:val="ESBodyText0"/>
        <w:spacing w:after="360"/>
      </w:pPr>
      <w:r>
        <w:rPr>
          <w:noProof/>
        </w:rPr>
        <w:drawing>
          <wp:anchor distT="0" distB="0" distL="114300" distR="114300" simplePos="0" relativeHeight="25166848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2346084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rsidP="00BA1967">
            <w:pPr>
              <w:pStyle w:val="ESBodyText0"/>
              <w:rPr>
                <w:b/>
                <w:bCs/>
              </w:rPr>
            </w:pPr>
            <w:r>
              <w:rPr>
                <w:b/>
                <w:bCs/>
              </w:rPr>
              <w:t>School Climate</w:t>
            </w:r>
          </w:p>
        </w:tc>
        <w:tc>
          <w:tcPr>
            <w:tcW w:w="1139" w:type="dxa"/>
          </w:tcPr>
          <w:p w:rsidR="00DF5E8D" w:rsidRPr="00E346A0" w:rsidP="00BA1967">
            <w:pPr>
              <w:pStyle w:val="ESBodyText0"/>
              <w:jc w:val="center"/>
              <w:rPr>
                <w:b/>
                <w:bCs/>
              </w:rPr>
            </w:pPr>
            <w:r w:rsidRPr="001B1C12">
              <w:t>Latest year (202</w:t>
            </w:r>
            <w:r w:rsidR="00992F6F">
              <w:t>3</w:t>
            </w:r>
            <w:r w:rsidRPr="001B1C12">
              <w:t>)</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School percent</w:t>
            </w:r>
            <w:r w:rsidR="00992F6F">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BA1967">
            <w:pPr>
              <w:pStyle w:val="ESBodyText0"/>
              <w:jc w:val="center"/>
            </w:pPr>
            <w:r>
              <w:t>77.0%</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State average</w:t>
            </w:r>
            <w:r w:rsidR="00DB021B">
              <w:t xml:space="preserve"> (secondary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BA1967">
            <w:pPr>
              <w:pStyle w:val="ESBodyText0"/>
              <w:jc w:val="center"/>
            </w:pPr>
            <w:r>
              <w:t>57.2%</w:t>
            </w:r>
          </w:p>
        </w:tc>
      </w:tr>
    </w:tbl>
    <w:p w:rsidR="00DF5E8D">
      <w:pPr>
        <w:pStyle w:val="ESBodyText0"/>
        <w:spacing w:after="240"/>
      </w:pPr>
    </w:p>
    <w:p w:rsidR="00742BDA" w:rsidP="00742BDA">
      <w:pPr>
        <w:pStyle w:val="ESBodyText0"/>
        <w:spacing w:after="0" w:line="240" w:lineRule="auto"/>
      </w:pPr>
    </w:p>
    <w:p w:rsidR="009E6D61" w:rsidP="00B637FF">
      <w:pPr>
        <w:pStyle w:val="Style10"/>
      </w:pPr>
      <w:r>
        <w:t>LEARNING</w:t>
      </w:r>
    </w:p>
    <w:p w:rsidR="004777FF" w:rsidP="00874585">
      <w:pPr>
        <w:pStyle w:val="ESBodyText0"/>
        <w:spacing w:before="240" w:line="240" w:lineRule="auto"/>
        <w:ind w:left="567" w:hanging="567"/>
        <w:rPr>
          <w:b/>
          <w:i/>
        </w:rPr>
      </w:pPr>
      <w:r>
        <w:rPr>
          <w:b/>
          <w:i/>
        </w:rPr>
        <w:t>Key:</w:t>
      </w:r>
      <w:r>
        <w:rPr>
          <w:b/>
          <w:i/>
        </w:rPr>
        <w:tab/>
      </w:r>
      <w:r w:rsidR="000B5315">
        <w:rPr>
          <w:b/>
          <w:i/>
        </w:rPr>
        <w:t>‘</w:t>
      </w:r>
      <w:r>
        <w:rPr>
          <w:b/>
          <w:i/>
        </w:rPr>
        <w:t>Similar Schools</w:t>
      </w:r>
      <w:r w:rsidR="000B5315">
        <w:rPr>
          <w:b/>
          <w:i/>
        </w:rPr>
        <w:t>’</w:t>
      </w:r>
      <w:r>
        <w:rPr>
          <w:b/>
          <w:i/>
        </w:rPr>
        <w:t xml:space="preserve">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RPr="00EB445D" w:rsidP="00874585">
      <w:pPr>
        <w:pStyle w:val="ESHeading30"/>
        <w:rPr>
          <w:color w:val="auto"/>
        </w:rPr>
      </w:pPr>
      <w:r>
        <w:t>Teacher Judgement of student achievement</w:t>
      </w:r>
      <w:r w:rsidRPr="00E346A0" w:rsidR="00E346A0">
        <w:rPr>
          <w:noProof/>
        </w:rPr>
        <w:t xml:space="preserve"> </w:t>
      </w:r>
      <w:r w:rsidR="00992F6F">
        <w:rPr>
          <w:noProof/>
        </w:rPr>
        <w:t>against the Victorian Curriculum</w:t>
      </w:r>
    </w:p>
    <w:p w:rsidR="00E5145E" w:rsidP="006D6BB2">
      <w:pPr>
        <w:pStyle w:val="ESBodyText0"/>
      </w:pPr>
      <w:r>
        <w:t xml:space="preserve">Percentage of students working </w:t>
      </w:r>
      <w:r>
        <w:t>at</w:t>
      </w:r>
      <w:r>
        <w:t xml:space="preserve"> or above age expected standards in</w:t>
      </w:r>
      <w:r w:rsidR="006D6BB2">
        <w:t xml:space="preserve"> English and Mathematics.</w:t>
      </w: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67456" behindDoc="0" locked="0" layoutInCell="1" allowOverlap="1">
            <wp:simplePos x="0" y="0"/>
            <wp:positionH relativeFrom="margin">
              <wp:posOffset>3264535</wp:posOffset>
            </wp:positionH>
            <wp:positionV relativeFrom="paragraph">
              <wp:posOffset>123190</wp:posOffset>
            </wp:positionV>
            <wp:extent cx="3724275" cy="1905000"/>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sidRPr="000E2D23">
              <w:rPr>
                <w:rFonts w:eastAsia="Times New Roman"/>
                <w:b/>
                <w:bCs/>
                <w:color w:val="000000"/>
                <w:lang w:val="en-AU" w:eastAsia="en-AU"/>
              </w:rPr>
              <w:t>English</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sidR="00E6201A">
              <w:rPr>
                <w:rFonts w:eastAsia="Times New Roman"/>
                <w:b/>
                <w:bCs/>
                <w:lang w:val="en-AU" w:eastAsia="en-AU"/>
              </w:rPr>
              <w:t>7 to 10</w:t>
            </w:r>
          </w:p>
        </w:tc>
        <w:tc>
          <w:tcPr>
            <w:tcW w:w="1139" w:type="dxa"/>
            <w:vAlign w:val="bottom"/>
          </w:tcPr>
          <w:p w:rsidR="00E346A0" w:rsidRPr="00E346A0" w:rsidP="00BA1967">
            <w:pPr>
              <w:pStyle w:val="ESBodyText0"/>
              <w:jc w:val="center"/>
              <w:rPr>
                <w:b/>
                <w:bCs/>
              </w:rPr>
            </w:pPr>
            <w:r w:rsidRPr="001B1C12">
              <w:t>Latest year (202</w:t>
            </w:r>
            <w:r w:rsidR="00992F6F">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992F6F">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64.2%</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61.5%</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75.5%</w:t>
            </w:r>
          </w:p>
        </w:tc>
      </w:tr>
    </w:tbl>
    <w:p w:rsidR="00E346A0" w:rsidP="006D6BB2">
      <w:pPr>
        <w:pStyle w:val="ESBodyText0"/>
      </w:pPr>
    </w:p>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66432" behindDoc="0" locked="0" layoutInCell="1" allowOverlap="1">
            <wp:simplePos x="0" y="0"/>
            <wp:positionH relativeFrom="column">
              <wp:posOffset>3297555</wp:posOffset>
            </wp:positionH>
            <wp:positionV relativeFrom="paragraph">
              <wp:posOffset>119380</wp:posOffset>
            </wp:positionV>
            <wp:extent cx="3724275" cy="1905000"/>
            <wp:effectExtent l="0" t="0" r="0" b="0"/>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w:t>
            </w:r>
            <w:r w:rsidR="00E6201A">
              <w:rPr>
                <w:rFonts w:eastAsia="Times New Roman"/>
                <w:b/>
                <w:bCs/>
                <w:lang w:val="en-AU" w:eastAsia="en-AU"/>
              </w:rPr>
              <w:t>7 to 10</w:t>
            </w:r>
          </w:p>
        </w:tc>
        <w:tc>
          <w:tcPr>
            <w:tcW w:w="1139" w:type="dxa"/>
            <w:vAlign w:val="bottom"/>
          </w:tcPr>
          <w:p w:rsidR="00E346A0" w:rsidRPr="001B1C12" w:rsidP="00BA1967">
            <w:pPr>
              <w:pStyle w:val="ESBodyText0"/>
              <w:jc w:val="center"/>
            </w:pPr>
            <w:r w:rsidRPr="001B1C12">
              <w:t>Latest year (202</w:t>
            </w:r>
            <w:r w:rsidR="00992F6F">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992F6F">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81.3%</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53.0%</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68.2%</w:t>
            </w:r>
          </w:p>
        </w:tc>
      </w:tr>
    </w:tbl>
    <w:p w:rsidR="004777FF">
      <w:pPr>
        <w:spacing w:after="0" w:line="240" w:lineRule="auto"/>
      </w:pPr>
    </w:p>
    <w:p w:rsidR="00874585" w:rsidP="001F39DE">
      <w:pPr>
        <w:pStyle w:val="ESHeading30"/>
        <w:spacing w:before="200"/>
      </w:pPr>
    </w:p>
    <w:p w:rsidR="004D2A34">
      <w:pPr>
        <w:spacing w:after="0" w:line="240" w:lineRule="auto"/>
        <w:rPr>
          <w:b/>
          <w:color w:val="000000" w:themeColor="text1"/>
        </w:rPr>
      </w:pPr>
      <w:r>
        <w:br w:type="page"/>
      </w:r>
    </w:p>
    <w:p w:rsidR="00701248" w:rsidP="00701248">
      <w:pPr>
        <w:pStyle w:val="Style10"/>
      </w:pPr>
      <w:r>
        <w:t>LEARNING (continued)</w:t>
      </w:r>
    </w:p>
    <w:p w:rsidR="00701248" w:rsidP="00701248">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701248" w:rsidP="00701248">
      <w:pPr>
        <w:pStyle w:val="ESHeading30"/>
      </w:pPr>
      <w:r w:rsidRPr="00EA3964">
        <w:t>NAPLAN</w:t>
      </w:r>
    </w:p>
    <w:p w:rsidR="00701248" w:rsidRPr="00410C77" w:rsidP="00701248">
      <w:pPr>
        <w:pStyle w:val="ESBodyText0"/>
      </w:pPr>
      <w:r w:rsidRPr="00410C77">
        <w:t>Percentage of students in the Strong or Exceeding proficiency levels in NAPLAN.</w:t>
      </w:r>
      <w:r w:rsidRPr="00410C77">
        <w:rPr>
          <w:noProof/>
        </w:rPr>
        <w:t xml:space="preserve"> </w:t>
      </w:r>
    </w:p>
    <w:p w:rsidR="00701248" w:rsidP="00701248">
      <w:pPr>
        <w:pStyle w:val="ESBodyText0"/>
      </w:pPr>
      <w:r>
        <w:rPr>
          <w:noProof/>
        </w:rPr>
        <w:drawing>
          <wp:anchor distT="0" distB="0" distL="114300" distR="114300" simplePos="0" relativeHeight="251683840" behindDoc="0" locked="0" layoutInCell="1" allowOverlap="1">
            <wp:simplePos x="0" y="0"/>
            <wp:positionH relativeFrom="margin">
              <wp:posOffset>3383341</wp:posOffset>
            </wp:positionH>
            <wp:positionV relativeFrom="paragraph">
              <wp:posOffset>290830</wp:posOffset>
            </wp:positionV>
            <wp:extent cx="3495675" cy="1933575"/>
            <wp:effectExtent l="0" t="0" r="0" b="0"/>
            <wp:wrapNone/>
            <wp:docPr id="1445982179" name="Chart 1445982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410C77">
        <w:t>Note: The NAPLAN test was revised in 2023 and the results are no longer comparable to previous years. Hence, the 4-year average has been removed until 4-years of data is available.</w:t>
      </w:r>
      <w:r w:rsidRPr="00B90DA3">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6525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6525CF">
            <w:pPr>
              <w:spacing w:after="0" w:line="240" w:lineRule="auto"/>
              <w:rPr>
                <w:rFonts w:eastAsia="Times New Roman"/>
                <w:b/>
                <w:bCs/>
                <w:color w:val="000000"/>
                <w:lang w:val="en-AU" w:eastAsia="en-AU"/>
              </w:rPr>
            </w:pPr>
            <w:r>
              <w:rPr>
                <w:rFonts w:eastAsia="Times New Roman"/>
                <w:b/>
                <w:bCs/>
                <w:color w:val="000000"/>
                <w:lang w:val="en-AU" w:eastAsia="en-AU"/>
              </w:rPr>
              <w:t>Reading</w:t>
            </w:r>
          </w:p>
          <w:p w:rsidR="00701248" w:rsidRPr="00B20B33" w:rsidP="006525CF">
            <w:pPr>
              <w:pStyle w:val="ESBodyText0"/>
              <w:spacing w:line="240" w:lineRule="auto"/>
              <w:rPr>
                <w:b/>
                <w:bCs/>
              </w:rPr>
            </w:pPr>
            <w:r>
              <w:rPr>
                <w:rFonts w:eastAsia="Times New Roman"/>
                <w:b/>
                <w:bCs/>
                <w:color w:val="000000"/>
                <w:lang w:val="en-AU" w:eastAsia="en-AU"/>
              </w:rPr>
              <w:t>Year 7</w:t>
            </w:r>
          </w:p>
        </w:tc>
        <w:tc>
          <w:tcPr>
            <w:tcW w:w="1131" w:type="dxa"/>
            <w:vAlign w:val="bottom"/>
          </w:tcPr>
          <w:p w:rsidR="00701248" w:rsidP="006525CF">
            <w:pPr>
              <w:pStyle w:val="ESBodyText0"/>
              <w:spacing w:line="240" w:lineRule="auto"/>
              <w:jc w:val="center"/>
            </w:pPr>
            <w:r>
              <w:t>Latest year (2023)</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701248" w:rsidP="006525CF">
            <w:pPr>
              <w:pStyle w:val="ESBodyText0"/>
              <w:spacing w:line="240" w:lineRule="auto"/>
              <w:jc w:val="center"/>
            </w:pPr>
            <w:r>
              <w:t>50.8%</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6525CF">
            <w:pPr>
              <w:pStyle w:val="ESBodyText0"/>
              <w:spacing w:line="240" w:lineRule="auto"/>
              <w:jc w:val="center"/>
              <w:rPr>
                <w:color w:val="FFFFFF" w:themeColor="background1"/>
              </w:rPr>
            </w:pPr>
            <w:r>
              <w:rPr>
                <w:color w:val="FFFFFF" w:themeColor="background1"/>
              </w:rPr>
              <w:t>53.4%</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6525CF">
            <w:pPr>
              <w:pStyle w:val="ESBodyText0"/>
              <w:spacing w:line="240" w:lineRule="auto"/>
              <w:jc w:val="center"/>
            </w:pPr>
            <w:r>
              <w:t>66.1%</w:t>
            </w:r>
          </w:p>
        </w:tc>
      </w:tr>
    </w:tbl>
    <w:p w:rsidR="00701248" w:rsidP="00701248">
      <w:pPr>
        <w:spacing w:after="0" w:line="240" w:lineRule="auto"/>
        <w:rPr>
          <w:rFonts w:eastAsia="Times New Roman"/>
          <w:b/>
          <w:bCs/>
          <w:color w:val="000000"/>
          <w:lang w:val="en-AU" w:eastAsia="en-AU"/>
        </w:rPr>
      </w:pPr>
    </w:p>
    <w:p w:rsidR="00701248" w:rsidP="00701248">
      <w:pPr>
        <w:spacing w:after="0" w:line="240" w:lineRule="auto"/>
        <w:rPr>
          <w:rFonts w:eastAsia="Times New Roman"/>
          <w:b/>
          <w:bCs/>
          <w:color w:val="000000"/>
          <w:lang w:val="en-AU" w:eastAsia="en-AU"/>
        </w:rPr>
      </w:pPr>
    </w:p>
    <w:p w:rsidR="00701248" w:rsidP="00701248">
      <w:pPr>
        <w:spacing w:after="0" w:line="240" w:lineRule="auto"/>
        <w:rPr>
          <w:rFonts w:eastAsia="Times New Roman"/>
          <w:b/>
          <w:bCs/>
          <w:color w:val="000000"/>
          <w:lang w:val="en-AU" w:eastAsia="en-AU"/>
        </w:rPr>
      </w:pPr>
    </w:p>
    <w:p w:rsidR="00701248" w:rsidP="00701248">
      <w:pPr>
        <w:spacing w:after="0" w:line="240" w:lineRule="auto"/>
        <w:rPr>
          <w:rFonts w:eastAsia="Times New Roman"/>
          <w:b/>
          <w:bCs/>
          <w:color w:val="000000"/>
          <w:lang w:val="en-AU" w:eastAsia="en-AU"/>
        </w:rPr>
      </w:pPr>
      <w:r>
        <w:rPr>
          <w:noProof/>
        </w:rPr>
        <w:drawing>
          <wp:anchor distT="0" distB="0" distL="114300" distR="114300" simplePos="0" relativeHeight="251682816" behindDoc="0" locked="0" layoutInCell="1" allowOverlap="1">
            <wp:simplePos x="0" y="0"/>
            <wp:positionH relativeFrom="margin">
              <wp:posOffset>3392806</wp:posOffset>
            </wp:positionH>
            <wp:positionV relativeFrom="paragraph">
              <wp:posOffset>59055</wp:posOffset>
            </wp:positionV>
            <wp:extent cx="3467100" cy="1971675"/>
            <wp:effectExtent l="0" t="0" r="0" b="0"/>
            <wp:wrapNone/>
            <wp:docPr id="1601027407" name="Chart 1601027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6525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6525CF">
            <w:pPr>
              <w:spacing w:after="0" w:line="240" w:lineRule="auto"/>
              <w:rPr>
                <w:rFonts w:eastAsia="Times New Roman"/>
                <w:b/>
                <w:bCs/>
                <w:color w:val="000000"/>
                <w:lang w:val="en-AU" w:eastAsia="en-AU"/>
              </w:rPr>
            </w:pPr>
            <w:r>
              <w:rPr>
                <w:rFonts w:eastAsia="Times New Roman"/>
                <w:b/>
                <w:bCs/>
                <w:color w:val="000000"/>
                <w:lang w:val="en-AU" w:eastAsia="en-AU"/>
              </w:rPr>
              <w:t>Reading</w:t>
            </w:r>
          </w:p>
          <w:p w:rsidR="00701248" w:rsidRPr="00B20B33" w:rsidP="006525CF">
            <w:pPr>
              <w:pStyle w:val="ESBodyText0"/>
              <w:spacing w:line="240" w:lineRule="auto"/>
              <w:rPr>
                <w:b/>
                <w:bCs/>
              </w:rPr>
            </w:pPr>
            <w:r>
              <w:rPr>
                <w:rFonts w:eastAsia="Times New Roman"/>
                <w:b/>
                <w:bCs/>
                <w:color w:val="000000"/>
                <w:lang w:val="en-AU" w:eastAsia="en-AU"/>
              </w:rPr>
              <w:t>Year 9</w:t>
            </w:r>
          </w:p>
        </w:tc>
        <w:tc>
          <w:tcPr>
            <w:tcW w:w="1131" w:type="dxa"/>
            <w:vAlign w:val="bottom"/>
          </w:tcPr>
          <w:p w:rsidR="00701248" w:rsidP="006525CF">
            <w:pPr>
              <w:pStyle w:val="ESBodyText0"/>
              <w:spacing w:line="240" w:lineRule="auto"/>
              <w:jc w:val="center"/>
            </w:pPr>
            <w:r>
              <w:t>Latest year (2023)</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701248" w:rsidP="006525CF">
            <w:pPr>
              <w:pStyle w:val="ESBodyText0"/>
              <w:spacing w:line="240" w:lineRule="auto"/>
              <w:jc w:val="center"/>
            </w:pPr>
            <w:r>
              <w:t>51.5%</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6525CF">
            <w:pPr>
              <w:pStyle w:val="ESBodyText0"/>
              <w:spacing w:line="240" w:lineRule="auto"/>
              <w:jc w:val="center"/>
              <w:rPr>
                <w:color w:val="FFFFFF" w:themeColor="background1"/>
              </w:rPr>
            </w:pPr>
            <w:r>
              <w:rPr>
                <w:color w:val="FFFFFF" w:themeColor="background1"/>
              </w:rPr>
              <w:t>46.6%</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6525CF">
            <w:pPr>
              <w:pStyle w:val="ESBodyText0"/>
              <w:spacing w:line="240" w:lineRule="auto"/>
              <w:jc w:val="center"/>
            </w:pPr>
            <w:r>
              <w:t>60.0%</w:t>
            </w:r>
          </w:p>
        </w:tc>
      </w:tr>
    </w:tbl>
    <w:p w:rsidR="00701248" w:rsidP="00701248">
      <w:pPr>
        <w:spacing w:after="0" w:line="240" w:lineRule="auto"/>
        <w:rPr>
          <w:rFonts w:eastAsia="Arial" w:cs="Times New Roman"/>
          <w:color w:val="000000"/>
          <w:szCs w:val="20"/>
        </w:rPr>
      </w:pPr>
    </w:p>
    <w:p w:rsidR="00701248" w:rsidP="00701248">
      <w:pPr>
        <w:pStyle w:val="ESBodyText0"/>
        <w:spacing w:after="0" w:line="240" w:lineRule="auto"/>
        <w:rPr>
          <w:rFonts w:eastAsia="Arial" w:cs="Times New Roman"/>
          <w:color w:val="000000"/>
          <w:szCs w:val="20"/>
        </w:rPr>
      </w:pPr>
    </w:p>
    <w:p w:rsidR="00701248" w:rsidP="00701248">
      <w:pPr>
        <w:pStyle w:val="ESHeading30"/>
        <w:spacing w:before="0"/>
      </w:pPr>
      <w:r>
        <w:rPr>
          <w:noProof/>
        </w:rPr>
        <w:drawing>
          <wp:anchor distT="0" distB="0" distL="114300" distR="114300" simplePos="0" relativeHeight="251681792" behindDoc="0" locked="0" layoutInCell="1" allowOverlap="1">
            <wp:simplePos x="0" y="0"/>
            <wp:positionH relativeFrom="margin">
              <wp:posOffset>3392805</wp:posOffset>
            </wp:positionH>
            <wp:positionV relativeFrom="paragraph">
              <wp:posOffset>179070</wp:posOffset>
            </wp:positionV>
            <wp:extent cx="3467100" cy="1933575"/>
            <wp:effectExtent l="0" t="0" r="0" b="0"/>
            <wp:wrapNone/>
            <wp:docPr id="260072887" name="Chart 26007288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6525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6525CF">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701248" w:rsidRPr="00B20B33" w:rsidP="006525CF">
            <w:pPr>
              <w:pStyle w:val="ESBodyText0"/>
              <w:spacing w:line="240" w:lineRule="auto"/>
              <w:rPr>
                <w:b/>
                <w:bCs/>
              </w:rPr>
            </w:pPr>
            <w:r>
              <w:rPr>
                <w:rFonts w:eastAsia="Times New Roman"/>
                <w:b/>
                <w:bCs/>
                <w:color w:val="000000"/>
                <w:lang w:val="en-AU" w:eastAsia="en-AU"/>
              </w:rPr>
              <w:t>Year 7</w:t>
            </w:r>
          </w:p>
        </w:tc>
        <w:tc>
          <w:tcPr>
            <w:tcW w:w="1131" w:type="dxa"/>
            <w:vAlign w:val="bottom"/>
          </w:tcPr>
          <w:p w:rsidR="00701248" w:rsidP="006525CF">
            <w:pPr>
              <w:pStyle w:val="ESBodyText0"/>
              <w:spacing w:line="240" w:lineRule="auto"/>
              <w:jc w:val="center"/>
            </w:pPr>
            <w:r>
              <w:t>Latest year (2023)</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701248" w:rsidP="006525CF">
            <w:pPr>
              <w:pStyle w:val="ESBodyText0"/>
              <w:spacing w:line="240" w:lineRule="auto"/>
              <w:jc w:val="center"/>
            </w:pPr>
            <w:r>
              <w:t>37.7%</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6525CF">
            <w:pPr>
              <w:pStyle w:val="ESBodyText0"/>
              <w:spacing w:line="240" w:lineRule="auto"/>
              <w:jc w:val="center"/>
              <w:rPr>
                <w:color w:val="FFFFFF" w:themeColor="background1"/>
              </w:rPr>
            </w:pPr>
            <w:r>
              <w:rPr>
                <w:color w:val="FFFFFF" w:themeColor="background1"/>
              </w:rPr>
              <w:t>48.7%</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6525CF">
            <w:pPr>
              <w:pStyle w:val="ESBodyText0"/>
              <w:spacing w:line="240" w:lineRule="auto"/>
              <w:jc w:val="center"/>
            </w:pPr>
            <w:r>
              <w:t>62.9%</w:t>
            </w:r>
          </w:p>
        </w:tc>
      </w:tr>
    </w:tbl>
    <w:p w:rsidR="00701248" w:rsidP="00701248">
      <w:pPr>
        <w:pStyle w:val="ESHeading30"/>
        <w:spacing w:before="0"/>
      </w:pPr>
    </w:p>
    <w:p w:rsidR="00701248" w:rsidP="00701248">
      <w:pPr>
        <w:pStyle w:val="ESHeading30"/>
        <w:spacing w:before="0"/>
      </w:pPr>
      <w:r>
        <w:rPr>
          <w:noProof/>
        </w:rPr>
        <w:drawing>
          <wp:anchor distT="0" distB="0" distL="114300" distR="114300" simplePos="0" relativeHeight="251680768" behindDoc="0" locked="0" layoutInCell="1" allowOverlap="1">
            <wp:simplePos x="0" y="0"/>
            <wp:positionH relativeFrom="margin">
              <wp:posOffset>3392805</wp:posOffset>
            </wp:positionH>
            <wp:positionV relativeFrom="paragraph">
              <wp:posOffset>179071</wp:posOffset>
            </wp:positionV>
            <wp:extent cx="3467100" cy="1943100"/>
            <wp:effectExtent l="0" t="0" r="0" b="0"/>
            <wp:wrapNone/>
            <wp:docPr id="100933220" name="Chart 100933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6525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6525CF">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701248" w:rsidRPr="00B20B33" w:rsidP="006525CF">
            <w:pPr>
              <w:pStyle w:val="ESBodyText0"/>
              <w:spacing w:line="240" w:lineRule="auto"/>
              <w:rPr>
                <w:b/>
                <w:bCs/>
              </w:rPr>
            </w:pPr>
            <w:r>
              <w:rPr>
                <w:rFonts w:eastAsia="Times New Roman"/>
                <w:b/>
                <w:bCs/>
                <w:color w:val="000000"/>
                <w:lang w:val="en-AU" w:eastAsia="en-AU"/>
              </w:rPr>
              <w:t>Year 9</w:t>
            </w:r>
          </w:p>
        </w:tc>
        <w:tc>
          <w:tcPr>
            <w:tcW w:w="1131" w:type="dxa"/>
            <w:vAlign w:val="bottom"/>
          </w:tcPr>
          <w:p w:rsidR="00701248" w:rsidP="006525CF">
            <w:pPr>
              <w:pStyle w:val="ESBodyText0"/>
              <w:spacing w:line="240" w:lineRule="auto"/>
              <w:jc w:val="center"/>
            </w:pPr>
            <w:r>
              <w:t>Latest year (2023)</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701248" w:rsidP="006525CF">
            <w:pPr>
              <w:pStyle w:val="ESBodyText0"/>
              <w:spacing w:line="240" w:lineRule="auto"/>
              <w:jc w:val="center"/>
            </w:pPr>
            <w:r>
              <w:t>33.9%</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6525CF">
            <w:pPr>
              <w:pStyle w:val="ESBodyText0"/>
              <w:spacing w:line="240" w:lineRule="auto"/>
              <w:jc w:val="center"/>
              <w:rPr>
                <w:color w:val="FFFFFF" w:themeColor="background1"/>
              </w:rPr>
            </w:pPr>
            <w:r>
              <w:rPr>
                <w:color w:val="FFFFFF" w:themeColor="background1"/>
              </w:rPr>
              <w:t>42.8%</w:t>
            </w:r>
          </w:p>
        </w:tc>
      </w:tr>
      <w:tr w:rsidTr="006525CF">
        <w:tblPrEx>
          <w:tblW w:w="0" w:type="auto"/>
          <w:tblLook w:val="04A0"/>
        </w:tblPrEx>
        <w:trPr>
          <w:trHeight w:hRule="exact" w:val="567"/>
        </w:trPr>
        <w:tc>
          <w:tcPr>
            <w:tcW w:w="2835" w:type="dxa"/>
            <w:tcMar>
              <w:top w:w="57" w:type="dxa"/>
            </w:tcMar>
            <w:vAlign w:val="center"/>
          </w:tcPr>
          <w:p w:rsidR="00701248" w:rsidP="006525CF">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6525CF">
            <w:pPr>
              <w:pStyle w:val="ESBodyText0"/>
              <w:spacing w:line="240" w:lineRule="auto"/>
              <w:jc w:val="center"/>
            </w:pPr>
            <w:r>
              <w:t>59.9%</w:t>
            </w:r>
          </w:p>
        </w:tc>
      </w:tr>
    </w:tbl>
    <w:p w:rsidR="00701248" w:rsidP="00701248">
      <w:pPr>
        <w:pStyle w:val="ESHeading30"/>
        <w:spacing w:before="0"/>
      </w:pPr>
    </w:p>
    <w:p w:rsidR="00701248" w:rsidP="00701248">
      <w:pPr>
        <w:pStyle w:val="ESBodyText0"/>
        <w:spacing w:after="0" w:line="240" w:lineRule="auto"/>
        <w:rPr>
          <w:b/>
          <w:color w:val="000000" w:themeColor="text1"/>
        </w:rPr>
      </w:pPr>
      <w:r>
        <w:br w:type="page"/>
      </w:r>
    </w:p>
    <w:p w:rsidR="004D2A34" w:rsidP="004D2A34">
      <w:pPr>
        <w:pStyle w:val="Style10"/>
      </w:pPr>
      <w:r>
        <w:t>LEARNING</w:t>
      </w:r>
      <w:r>
        <w:t xml:space="preserve"> (continued)</w:t>
      </w:r>
    </w:p>
    <w:p w:rsidR="004D2A34" w:rsidP="004D2A34">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4D2A34" w:rsidP="004D2A34">
      <w:pPr>
        <w:pStyle w:val="ESHeading30"/>
      </w:pPr>
      <w:r w:rsidRPr="00EA3964">
        <w:t>NAPLAN</w:t>
      </w:r>
    </w:p>
    <w:p w:rsidR="00701248" w:rsidRPr="00410C77" w:rsidP="00701248">
      <w:pPr>
        <w:pStyle w:val="ESBodyText0"/>
      </w:pPr>
      <w:r w:rsidRPr="00410C77">
        <w:t>Percentage of students in the top three bands of testing in NAPLAN.</w:t>
      </w:r>
      <w:r w:rsidRPr="00410C77">
        <w:rPr>
          <w:noProof/>
        </w:rPr>
        <w:t xml:space="preserve"> </w:t>
      </w:r>
    </w:p>
    <w:p w:rsidR="00701248" w:rsidP="00701248">
      <w:pPr>
        <w:pStyle w:val="ESBodyText0"/>
      </w:pPr>
      <w:r w:rsidRPr="00410C77">
        <w:t>Note: The NAPLAN test was revised in 2023 and the 2022 results are not comparable to the new methodology.</w:t>
      </w:r>
    </w:p>
    <w:p w:rsidR="00C11F94" w:rsidP="00C11F9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simplePos x="0" y="0"/>
            <wp:positionH relativeFrom="margin">
              <wp:posOffset>3373755</wp:posOffset>
            </wp:positionH>
            <wp:positionV relativeFrom="paragraph">
              <wp:posOffset>80010</wp:posOffset>
            </wp:positionV>
            <wp:extent cx="3495675" cy="1933575"/>
            <wp:effectExtent l="0" t="0" r="0" b="0"/>
            <wp:wrapNone/>
            <wp:docPr id="52647187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2552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25525E">
            <w:pPr>
              <w:spacing w:after="0" w:line="240" w:lineRule="auto"/>
              <w:rPr>
                <w:rFonts w:eastAsia="Times New Roman"/>
                <w:b/>
                <w:bCs/>
                <w:color w:val="000000"/>
                <w:lang w:val="en-AU" w:eastAsia="en-AU"/>
              </w:rPr>
            </w:pPr>
            <w:r>
              <w:rPr>
                <w:rFonts w:eastAsia="Times New Roman"/>
                <w:b/>
                <w:bCs/>
                <w:color w:val="000000"/>
                <w:lang w:val="en-AU" w:eastAsia="en-AU"/>
              </w:rPr>
              <w:t>Reading</w:t>
            </w:r>
          </w:p>
          <w:p w:rsidR="00701248" w:rsidRPr="00B20B33" w:rsidP="0025525E">
            <w:pPr>
              <w:pStyle w:val="ESBodyText0"/>
              <w:spacing w:line="240" w:lineRule="auto"/>
              <w:rPr>
                <w:b/>
                <w:bCs/>
              </w:rPr>
            </w:pPr>
            <w:r>
              <w:rPr>
                <w:rFonts w:eastAsia="Times New Roman"/>
                <w:b/>
                <w:bCs/>
                <w:color w:val="000000"/>
                <w:lang w:val="en-AU" w:eastAsia="en-AU"/>
              </w:rPr>
              <w:t>Year 7</w:t>
            </w:r>
          </w:p>
        </w:tc>
        <w:tc>
          <w:tcPr>
            <w:tcW w:w="1131" w:type="dxa"/>
            <w:vAlign w:val="bottom"/>
          </w:tcPr>
          <w:p w:rsidR="00701248" w:rsidP="0025525E">
            <w:pPr>
              <w:pStyle w:val="ESBodyText0"/>
              <w:spacing w:line="240" w:lineRule="auto"/>
              <w:jc w:val="center"/>
            </w:pPr>
            <w:r>
              <w:t>Latest year (2022)</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701248" w:rsidP="0025525E">
            <w:pPr>
              <w:pStyle w:val="ESBodyText0"/>
              <w:spacing w:line="240" w:lineRule="auto"/>
              <w:jc w:val="center"/>
            </w:pPr>
            <w:r>
              <w:t>29.9%</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25525E">
            <w:pPr>
              <w:pStyle w:val="ESBodyText0"/>
              <w:spacing w:line="240" w:lineRule="auto"/>
              <w:jc w:val="center"/>
              <w:rPr>
                <w:color w:val="FFFFFF" w:themeColor="background1"/>
              </w:rPr>
            </w:pPr>
            <w:r>
              <w:rPr>
                <w:color w:val="FFFFFF" w:themeColor="background1"/>
              </w:rPr>
              <w:t>40.7%</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25525E">
            <w:pPr>
              <w:pStyle w:val="ESBodyText0"/>
              <w:spacing w:line="240" w:lineRule="auto"/>
              <w:jc w:val="center"/>
            </w:pPr>
            <w:r>
              <w:t>54.6%</w:t>
            </w:r>
          </w:p>
        </w:tc>
      </w:tr>
    </w:tbl>
    <w:p w:rsidR="00C11F94" w:rsidP="00C11F94">
      <w:pPr>
        <w:spacing w:after="0" w:line="240" w:lineRule="auto"/>
        <w:rPr>
          <w:rFonts w:eastAsia="Times New Roman"/>
          <w:b/>
          <w:bCs/>
          <w:color w:val="000000"/>
          <w:lang w:val="en-AU" w:eastAsia="en-AU"/>
        </w:rPr>
      </w:pPr>
    </w:p>
    <w:p w:rsidR="00C11F94" w:rsidP="00C11F94">
      <w:pPr>
        <w:spacing w:after="0" w:line="240" w:lineRule="auto"/>
        <w:rPr>
          <w:rFonts w:eastAsia="Times New Roman"/>
          <w:b/>
          <w:bCs/>
          <w:color w:val="000000"/>
          <w:lang w:val="en-AU" w:eastAsia="en-AU"/>
        </w:rPr>
      </w:pPr>
    </w:p>
    <w:p w:rsidR="00C11F94" w:rsidP="00C11F94">
      <w:pPr>
        <w:spacing w:after="0" w:line="240" w:lineRule="auto"/>
        <w:rPr>
          <w:rFonts w:eastAsia="Times New Roman"/>
          <w:b/>
          <w:bCs/>
          <w:color w:val="000000"/>
          <w:lang w:val="en-AU" w:eastAsia="en-AU"/>
        </w:rPr>
      </w:pPr>
    </w:p>
    <w:p w:rsidR="00C11F94" w:rsidP="00C11F9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simplePos x="0" y="0"/>
            <wp:positionH relativeFrom="margin">
              <wp:posOffset>3392806</wp:posOffset>
            </wp:positionH>
            <wp:positionV relativeFrom="paragraph">
              <wp:posOffset>59055</wp:posOffset>
            </wp:positionV>
            <wp:extent cx="3467100" cy="1971675"/>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2552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25525E">
            <w:pPr>
              <w:spacing w:after="0" w:line="240" w:lineRule="auto"/>
              <w:rPr>
                <w:rFonts w:eastAsia="Times New Roman"/>
                <w:b/>
                <w:bCs/>
                <w:color w:val="000000"/>
                <w:lang w:val="en-AU" w:eastAsia="en-AU"/>
              </w:rPr>
            </w:pPr>
            <w:r>
              <w:rPr>
                <w:rFonts w:eastAsia="Times New Roman"/>
                <w:b/>
                <w:bCs/>
                <w:color w:val="000000"/>
                <w:lang w:val="en-AU" w:eastAsia="en-AU"/>
              </w:rPr>
              <w:t>Reading</w:t>
            </w:r>
          </w:p>
          <w:p w:rsidR="00701248" w:rsidRPr="00B20B33" w:rsidP="0025525E">
            <w:pPr>
              <w:pStyle w:val="ESBodyText0"/>
              <w:spacing w:line="240" w:lineRule="auto"/>
              <w:rPr>
                <w:b/>
                <w:bCs/>
              </w:rPr>
            </w:pPr>
            <w:r>
              <w:rPr>
                <w:rFonts w:eastAsia="Times New Roman"/>
                <w:b/>
                <w:bCs/>
                <w:color w:val="000000"/>
                <w:lang w:val="en-AU" w:eastAsia="en-AU"/>
              </w:rPr>
              <w:t>Year 9</w:t>
            </w:r>
          </w:p>
        </w:tc>
        <w:tc>
          <w:tcPr>
            <w:tcW w:w="1131" w:type="dxa"/>
            <w:vAlign w:val="bottom"/>
          </w:tcPr>
          <w:p w:rsidR="00701248" w:rsidP="0025525E">
            <w:pPr>
              <w:pStyle w:val="ESBodyText0"/>
              <w:spacing w:line="240" w:lineRule="auto"/>
              <w:jc w:val="center"/>
            </w:pPr>
            <w:r>
              <w:t>Latest year (2022)</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701248" w:rsidP="0025525E">
            <w:pPr>
              <w:pStyle w:val="ESBodyText0"/>
              <w:spacing w:line="240" w:lineRule="auto"/>
              <w:jc w:val="center"/>
            </w:pPr>
            <w:r>
              <w:t>21.6%</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25525E">
            <w:pPr>
              <w:pStyle w:val="ESBodyText0"/>
              <w:spacing w:line="240" w:lineRule="auto"/>
              <w:jc w:val="center"/>
              <w:rPr>
                <w:color w:val="FFFFFF" w:themeColor="background1"/>
              </w:rPr>
            </w:pPr>
            <w:r>
              <w:rPr>
                <w:color w:val="FFFFFF" w:themeColor="background1"/>
              </w:rPr>
              <w:t>32.1%</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25525E">
            <w:pPr>
              <w:pStyle w:val="ESBodyText0"/>
              <w:spacing w:line="240" w:lineRule="auto"/>
              <w:jc w:val="center"/>
            </w:pPr>
            <w:r>
              <w:t>47.2%</w:t>
            </w:r>
          </w:p>
        </w:tc>
      </w:tr>
    </w:tbl>
    <w:p w:rsidR="00C11F94" w:rsidP="00C11F94">
      <w:pPr>
        <w:spacing w:after="0" w:line="240" w:lineRule="auto"/>
        <w:rPr>
          <w:rFonts w:eastAsia="Arial" w:cs="Times New Roman"/>
          <w:color w:val="000000"/>
          <w:szCs w:val="20"/>
        </w:rPr>
      </w:pPr>
    </w:p>
    <w:p w:rsidR="00C11F94" w:rsidP="00C11F94">
      <w:pPr>
        <w:pStyle w:val="ESBodyText0"/>
        <w:spacing w:after="0" w:line="240" w:lineRule="auto"/>
        <w:rPr>
          <w:rFonts w:eastAsia="Arial" w:cs="Times New Roman"/>
          <w:color w:val="000000"/>
          <w:szCs w:val="20"/>
        </w:rPr>
      </w:pPr>
    </w:p>
    <w:p w:rsidR="00C11F94" w:rsidP="00C11F94">
      <w:pPr>
        <w:pStyle w:val="ESHeading30"/>
        <w:spacing w:before="0"/>
      </w:pPr>
      <w:r>
        <w:rPr>
          <w:noProof/>
        </w:rPr>
        <w:drawing>
          <wp:anchor distT="0" distB="0" distL="114300" distR="114300" simplePos="0" relativeHeight="251662336" behindDoc="0" locked="0" layoutInCell="1" allowOverlap="1">
            <wp:simplePos x="0" y="0"/>
            <wp:positionH relativeFrom="margin">
              <wp:posOffset>3392805</wp:posOffset>
            </wp:positionH>
            <wp:positionV relativeFrom="paragraph">
              <wp:posOffset>179070</wp:posOffset>
            </wp:positionV>
            <wp:extent cx="3467100" cy="1933575"/>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2552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25525E">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701248" w:rsidRPr="00B20B33" w:rsidP="0025525E">
            <w:pPr>
              <w:pStyle w:val="ESBodyText0"/>
              <w:spacing w:line="240" w:lineRule="auto"/>
              <w:rPr>
                <w:b/>
                <w:bCs/>
              </w:rPr>
            </w:pPr>
            <w:r>
              <w:rPr>
                <w:rFonts w:eastAsia="Times New Roman"/>
                <w:b/>
                <w:bCs/>
                <w:color w:val="000000"/>
                <w:lang w:val="en-AU" w:eastAsia="en-AU"/>
              </w:rPr>
              <w:t>Year 7</w:t>
            </w:r>
          </w:p>
        </w:tc>
        <w:tc>
          <w:tcPr>
            <w:tcW w:w="1131" w:type="dxa"/>
            <w:vAlign w:val="bottom"/>
          </w:tcPr>
          <w:p w:rsidR="00701248" w:rsidP="0025525E">
            <w:pPr>
              <w:pStyle w:val="ESBodyText0"/>
              <w:spacing w:line="240" w:lineRule="auto"/>
              <w:jc w:val="center"/>
            </w:pPr>
            <w:r>
              <w:t>Latest year (2022)</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701248" w:rsidP="0025525E">
            <w:pPr>
              <w:pStyle w:val="ESBodyText0"/>
              <w:spacing w:line="240" w:lineRule="auto"/>
              <w:jc w:val="center"/>
            </w:pPr>
            <w:r>
              <w:t>21.2%</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25525E">
            <w:pPr>
              <w:pStyle w:val="ESBodyText0"/>
              <w:spacing w:line="240" w:lineRule="auto"/>
              <w:jc w:val="center"/>
              <w:rPr>
                <w:color w:val="FFFFFF" w:themeColor="background1"/>
              </w:rPr>
            </w:pPr>
            <w:r>
              <w:rPr>
                <w:color w:val="FFFFFF" w:themeColor="background1"/>
              </w:rPr>
              <w:t>34.1%</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25525E">
            <w:pPr>
              <w:pStyle w:val="ESBodyText0"/>
              <w:spacing w:line="240" w:lineRule="auto"/>
              <w:jc w:val="center"/>
            </w:pPr>
            <w:r>
              <w:t>52.5%</w:t>
            </w:r>
          </w:p>
        </w:tc>
      </w:tr>
    </w:tbl>
    <w:p w:rsidR="00C11F94" w:rsidP="00C11F94">
      <w:pPr>
        <w:pStyle w:val="ESHeading30"/>
        <w:spacing w:before="0"/>
      </w:pPr>
    </w:p>
    <w:p w:rsidR="00C11F94" w:rsidP="00C11F94">
      <w:pPr>
        <w:pStyle w:val="ESHeading30"/>
        <w:spacing w:before="0"/>
      </w:pPr>
      <w:r>
        <w:rPr>
          <w:noProof/>
        </w:rPr>
        <w:drawing>
          <wp:anchor distT="0" distB="0" distL="114300" distR="114300" simplePos="0" relativeHeight="251661312" behindDoc="0" locked="0" layoutInCell="1" allowOverlap="1">
            <wp:simplePos x="0" y="0"/>
            <wp:positionH relativeFrom="margin">
              <wp:posOffset>3392805</wp:posOffset>
            </wp:positionH>
            <wp:positionV relativeFrom="paragraph">
              <wp:posOffset>179071</wp:posOffset>
            </wp:positionV>
            <wp:extent cx="3467100" cy="1943100"/>
            <wp:effectExtent l="0" t="0" r="0" b="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2552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701248" w:rsidP="0025525E">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701248" w:rsidRPr="00B20B33" w:rsidP="0025525E">
            <w:pPr>
              <w:pStyle w:val="ESBodyText0"/>
              <w:spacing w:line="240" w:lineRule="auto"/>
              <w:rPr>
                <w:b/>
                <w:bCs/>
              </w:rPr>
            </w:pPr>
            <w:r>
              <w:rPr>
                <w:rFonts w:eastAsia="Times New Roman"/>
                <w:b/>
                <w:bCs/>
                <w:color w:val="000000"/>
                <w:lang w:val="en-AU" w:eastAsia="en-AU"/>
              </w:rPr>
              <w:t>Year 9</w:t>
            </w:r>
          </w:p>
        </w:tc>
        <w:tc>
          <w:tcPr>
            <w:tcW w:w="1131" w:type="dxa"/>
            <w:vAlign w:val="bottom"/>
          </w:tcPr>
          <w:p w:rsidR="00701248" w:rsidP="0025525E">
            <w:pPr>
              <w:pStyle w:val="ESBodyText0"/>
              <w:spacing w:line="240" w:lineRule="auto"/>
              <w:jc w:val="center"/>
            </w:pPr>
            <w:r>
              <w:t>Latest year (2022)</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701248" w:rsidP="0025525E">
            <w:pPr>
              <w:pStyle w:val="ESBodyText0"/>
              <w:spacing w:line="240" w:lineRule="auto"/>
              <w:jc w:val="center"/>
            </w:pPr>
            <w:r>
              <w:t>16.3%</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701248" w:rsidRPr="00B20B33" w:rsidP="0025525E">
            <w:pPr>
              <w:pStyle w:val="ESBodyText0"/>
              <w:spacing w:line="240" w:lineRule="auto"/>
              <w:jc w:val="center"/>
              <w:rPr>
                <w:color w:val="FFFFFF" w:themeColor="background1"/>
              </w:rPr>
            </w:pPr>
            <w:r>
              <w:rPr>
                <w:color w:val="FFFFFF" w:themeColor="background1"/>
              </w:rPr>
              <w:t>26.6%</w:t>
            </w:r>
          </w:p>
        </w:tc>
      </w:tr>
      <w:tr w:rsidTr="0025525E">
        <w:tblPrEx>
          <w:tblW w:w="0" w:type="auto"/>
          <w:tblLook w:val="04A0"/>
        </w:tblPrEx>
        <w:trPr>
          <w:trHeight w:hRule="exact" w:val="567"/>
        </w:trPr>
        <w:tc>
          <w:tcPr>
            <w:tcW w:w="2835" w:type="dxa"/>
            <w:tcMar>
              <w:top w:w="57" w:type="dxa"/>
            </w:tcMar>
            <w:vAlign w:val="center"/>
          </w:tcPr>
          <w:p w:rsidR="00701248" w:rsidP="0025525E">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701248" w:rsidP="0025525E">
            <w:pPr>
              <w:pStyle w:val="ESBodyText0"/>
              <w:spacing w:line="240" w:lineRule="auto"/>
              <w:jc w:val="center"/>
            </w:pPr>
            <w:r>
              <w:t>44.7%</w:t>
            </w:r>
          </w:p>
        </w:tc>
      </w:tr>
    </w:tbl>
    <w:p w:rsidR="00C11F94" w:rsidP="00C11F94">
      <w:pPr>
        <w:pStyle w:val="ESHeading30"/>
        <w:spacing w:before="0"/>
      </w:pPr>
    </w:p>
    <w:p w:rsidR="004D2A34" w:rsidP="00C11F94">
      <w:pPr>
        <w:pStyle w:val="ESBodyText0"/>
        <w:spacing w:after="0" w:line="240" w:lineRule="auto"/>
        <w:rPr>
          <w:b/>
          <w:color w:val="000000" w:themeColor="text1"/>
        </w:rPr>
      </w:pPr>
      <w:r>
        <w:br w:type="page"/>
      </w:r>
    </w:p>
    <w:p w:rsidR="004D2A34" w:rsidP="004D2A34">
      <w:pPr>
        <w:pStyle w:val="Style10"/>
      </w:pPr>
      <w:r>
        <w:t>LEARNING</w:t>
      </w:r>
      <w:r>
        <w:t xml:space="preserve"> (continued)</w:t>
      </w:r>
    </w:p>
    <w:p w:rsidR="007F1B5B" w:rsidRPr="007F1B5B" w:rsidP="007F1B5B">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392029" w:rsidRPr="00295C23" w:rsidP="00392029">
      <w:pPr>
        <w:pStyle w:val="ESBodyText0"/>
        <w:rPr>
          <w:b/>
          <w:bCs/>
        </w:rPr>
      </w:pPr>
      <w:r>
        <w:rPr>
          <w:b/>
          <w:bCs/>
        </w:rPr>
        <w:br/>
      </w:r>
      <w:r w:rsidRPr="00295C23">
        <w:rPr>
          <w:b/>
          <w:bCs/>
        </w:rPr>
        <w:t xml:space="preserve">Victorian Senior Secondary Certificate </w:t>
      </w:r>
    </w:p>
    <w:p w:rsidR="00392029" w:rsidRPr="00295C23" w:rsidP="00392029">
      <w:pPr>
        <w:pStyle w:val="ESBodyText0"/>
      </w:pPr>
      <w:r w:rsidRPr="00295C23">
        <w:t>In 2023, the Victorian Curriculum and Assessment Authority introduced the new VCE Vocational Major (VM), a vocational and applied learning program within the VCE designed to be completed over a minimum of two years.</w:t>
      </w:r>
    </w:p>
    <w:p w:rsidR="00392029" w:rsidP="00392029">
      <w:pPr>
        <w:pStyle w:val="ESBodyText0"/>
      </w:pPr>
      <w:r w:rsidRPr="00295C23">
        <w:t>Note that as of 2023, the Victorian Senior Secondary Certificate completion rate includes the VCE including the VCE Vocational Major</w:t>
      </w:r>
      <w:r w:rsidR="004C0FCA">
        <w:t>.</w:t>
      </w:r>
    </w:p>
    <w:p w:rsidR="00392029" w:rsidP="00392029">
      <w:pPr>
        <w:pStyle w:val="ESBodyText0"/>
      </w:pPr>
      <w:r>
        <w:rPr>
          <w:noProof/>
        </w:rPr>
        <w:drawing>
          <wp:anchor distT="0" distB="0" distL="114300" distR="114300" simplePos="0" relativeHeight="251684864" behindDoc="0" locked="0" layoutInCell="1" allowOverlap="1">
            <wp:simplePos x="0" y="0"/>
            <wp:positionH relativeFrom="margin">
              <wp:posOffset>3276600</wp:posOffset>
            </wp:positionH>
            <wp:positionV relativeFrom="paragraph">
              <wp:posOffset>313690</wp:posOffset>
            </wp:positionV>
            <wp:extent cx="3666490" cy="1781175"/>
            <wp:effectExtent l="0" t="0" r="0" b="0"/>
            <wp:wrapNone/>
            <wp:docPr id="4333225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4"/>
        <w:gridCol w:w="1129"/>
      </w:tblGrid>
      <w:tr w:rsidTr="006525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392029" w:rsidRPr="00B20B33" w:rsidP="006525CF">
            <w:pPr>
              <w:pStyle w:val="ESBodyText0"/>
              <w:spacing w:line="240" w:lineRule="auto"/>
              <w:rPr>
                <w:b/>
                <w:bCs/>
              </w:rPr>
            </w:pPr>
            <w:r w:rsidRPr="00295C23">
              <w:rPr>
                <w:b/>
                <w:bCs/>
              </w:rPr>
              <w:t>Victorian Senior Secondary Certificate</w:t>
            </w:r>
          </w:p>
        </w:tc>
        <w:tc>
          <w:tcPr>
            <w:tcW w:w="1134" w:type="dxa"/>
            <w:vAlign w:val="bottom"/>
          </w:tcPr>
          <w:p w:rsidR="00392029" w:rsidP="006525CF">
            <w:pPr>
              <w:pStyle w:val="ESBodyText0"/>
              <w:spacing w:line="240" w:lineRule="auto"/>
              <w:jc w:val="center"/>
            </w:pPr>
            <w:r>
              <w:t>Latest year (2023)</w:t>
            </w:r>
          </w:p>
        </w:tc>
        <w:tc>
          <w:tcPr>
            <w:tcW w:w="1129" w:type="dxa"/>
            <w:vAlign w:val="bottom"/>
          </w:tcPr>
          <w:p w:rsidR="00392029" w:rsidP="006525CF">
            <w:pPr>
              <w:pStyle w:val="ESBodyText0"/>
              <w:spacing w:line="240" w:lineRule="auto"/>
              <w:jc w:val="center"/>
            </w:pPr>
            <w:r>
              <w:t>4-year average</w:t>
            </w:r>
          </w:p>
        </w:tc>
      </w:tr>
      <w:tr w:rsidTr="006525CF">
        <w:tblPrEx>
          <w:tblW w:w="0" w:type="auto"/>
          <w:tblLook w:val="04A0"/>
        </w:tblPrEx>
        <w:trPr>
          <w:trHeight w:hRule="exact" w:val="567"/>
        </w:trPr>
        <w:tc>
          <w:tcPr>
            <w:tcW w:w="2835" w:type="dxa"/>
            <w:tcMar>
              <w:top w:w="57" w:type="dxa"/>
            </w:tcMar>
            <w:vAlign w:val="center"/>
          </w:tcPr>
          <w:p w:rsidR="00392029" w:rsidP="006525CF">
            <w:pPr>
              <w:pStyle w:val="ESBodyText0"/>
              <w:spacing w:line="240" w:lineRule="auto"/>
            </w:pPr>
            <w:r>
              <w:t>School completion rate:</w:t>
            </w:r>
          </w:p>
        </w:tc>
        <w:tc>
          <w:tcPr>
            <w:tcW w:w="1134" w:type="dxa"/>
            <w:tcBorders>
              <w:bottom w:val="single" w:sz="4" w:space="0" w:color="FFFFFF" w:themeColor="background1"/>
            </w:tcBorders>
            <w:shd w:val="clear" w:color="auto" w:fill="FFC000"/>
            <w:tcMar>
              <w:top w:w="57" w:type="dxa"/>
            </w:tcMar>
            <w:vAlign w:val="center"/>
          </w:tcPr>
          <w:p w:rsidR="00392029" w:rsidP="006525CF">
            <w:pPr>
              <w:pStyle w:val="ESBodyText0"/>
              <w:spacing w:line="240" w:lineRule="auto"/>
              <w:jc w:val="center"/>
            </w:pPr>
            <w:r>
              <w:t>96.3%</w:t>
            </w:r>
          </w:p>
        </w:tc>
        <w:tc>
          <w:tcPr>
            <w:tcW w:w="1129" w:type="dxa"/>
            <w:tcBorders>
              <w:bottom w:val="single" w:sz="4" w:space="0" w:color="FFFFFF" w:themeColor="background1"/>
            </w:tcBorders>
            <w:shd w:val="clear" w:color="auto" w:fill="FFC000"/>
            <w:tcMar>
              <w:top w:w="57" w:type="dxa"/>
            </w:tcMar>
            <w:vAlign w:val="center"/>
          </w:tcPr>
          <w:p w:rsidR="00392029" w:rsidP="006525CF">
            <w:pPr>
              <w:pStyle w:val="ESBodyText0"/>
              <w:spacing w:line="240" w:lineRule="auto"/>
              <w:jc w:val="center"/>
            </w:pPr>
            <w:r>
              <w:t>98.4%</w:t>
            </w:r>
          </w:p>
        </w:tc>
      </w:tr>
      <w:tr w:rsidTr="006525CF">
        <w:tblPrEx>
          <w:tblW w:w="0" w:type="auto"/>
          <w:tblLook w:val="04A0"/>
        </w:tblPrEx>
        <w:trPr>
          <w:trHeight w:hRule="exact" w:val="567"/>
        </w:trPr>
        <w:tc>
          <w:tcPr>
            <w:tcW w:w="2835" w:type="dxa"/>
            <w:tcMar>
              <w:top w:w="57" w:type="dxa"/>
            </w:tcMar>
            <w:vAlign w:val="center"/>
          </w:tcPr>
          <w:p w:rsidR="00392029" w:rsidP="006525CF">
            <w:pPr>
              <w:pStyle w:val="ESBodyText0"/>
              <w:spacing w:line="240" w:lineRule="auto"/>
            </w:pPr>
            <w:r>
              <w:t>Similar Schools completion rate: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392029" w:rsidRPr="00B20B33" w:rsidP="006525CF">
            <w:pPr>
              <w:pStyle w:val="ESBodyText0"/>
              <w:spacing w:line="240" w:lineRule="auto"/>
              <w:jc w:val="center"/>
              <w:rPr>
                <w:color w:val="FFFFFF" w:themeColor="background1"/>
              </w:rPr>
            </w:pPr>
            <w:r>
              <w:rPr>
                <w:color w:val="FFFFFF" w:themeColor="background1"/>
              </w:rPr>
              <w:t>94.8%</w:t>
            </w:r>
          </w:p>
        </w:tc>
        <w:tc>
          <w:tcPr>
            <w:tcW w:w="1129" w:type="dxa"/>
            <w:tcBorders>
              <w:top w:val="single" w:sz="4" w:space="0" w:color="FFFFFF" w:themeColor="background1"/>
              <w:bottom w:val="single" w:sz="4" w:space="0" w:color="FFFFFF" w:themeColor="background1"/>
            </w:tcBorders>
            <w:shd w:val="clear" w:color="auto" w:fill="7030A0"/>
            <w:tcMar>
              <w:top w:w="57" w:type="dxa"/>
            </w:tcMar>
            <w:vAlign w:val="center"/>
          </w:tcPr>
          <w:p w:rsidR="00392029" w:rsidRPr="00B20B33" w:rsidP="006525CF">
            <w:pPr>
              <w:pStyle w:val="ESBodyText0"/>
              <w:spacing w:line="240" w:lineRule="auto"/>
              <w:jc w:val="center"/>
              <w:rPr>
                <w:color w:val="FFFFFF" w:themeColor="background1"/>
              </w:rPr>
            </w:pPr>
            <w:r>
              <w:rPr>
                <w:color w:val="FFFFFF" w:themeColor="background1"/>
              </w:rPr>
              <w:t>95.4%</w:t>
            </w:r>
          </w:p>
        </w:tc>
      </w:tr>
      <w:tr w:rsidTr="006525CF">
        <w:tblPrEx>
          <w:tblW w:w="0" w:type="auto"/>
          <w:tblLook w:val="04A0"/>
        </w:tblPrEx>
        <w:trPr>
          <w:trHeight w:hRule="exact" w:val="567"/>
        </w:trPr>
        <w:tc>
          <w:tcPr>
            <w:tcW w:w="2835" w:type="dxa"/>
            <w:tcMar>
              <w:top w:w="57" w:type="dxa"/>
            </w:tcMar>
            <w:vAlign w:val="center"/>
          </w:tcPr>
          <w:p w:rsidR="00392029" w:rsidP="006525CF">
            <w:pPr>
              <w:pStyle w:val="ESBodyText0"/>
              <w:spacing w:line="240" w:lineRule="auto"/>
            </w:pPr>
            <w:r>
              <w:t>State completion rate:</w:t>
            </w:r>
          </w:p>
        </w:tc>
        <w:tc>
          <w:tcPr>
            <w:tcW w:w="1134" w:type="dxa"/>
            <w:tcBorders>
              <w:top w:val="single" w:sz="4" w:space="0" w:color="FFFFFF" w:themeColor="background1"/>
            </w:tcBorders>
            <w:shd w:val="clear" w:color="auto" w:fill="A6A6A6" w:themeFill="background1" w:themeFillShade="A6"/>
            <w:tcMar>
              <w:top w:w="57" w:type="dxa"/>
            </w:tcMar>
            <w:vAlign w:val="center"/>
          </w:tcPr>
          <w:p w:rsidR="00392029" w:rsidP="006525CF">
            <w:pPr>
              <w:pStyle w:val="ESBodyText0"/>
              <w:spacing w:line="240" w:lineRule="auto"/>
              <w:jc w:val="center"/>
            </w:pPr>
            <w:r>
              <w:t>96.6%</w:t>
            </w:r>
          </w:p>
        </w:tc>
        <w:tc>
          <w:tcPr>
            <w:tcW w:w="1129" w:type="dxa"/>
            <w:tcBorders>
              <w:top w:val="single" w:sz="4" w:space="0" w:color="FFFFFF" w:themeColor="background1"/>
            </w:tcBorders>
            <w:shd w:val="clear" w:color="auto" w:fill="A6A6A6" w:themeFill="background1" w:themeFillShade="A6"/>
            <w:tcMar>
              <w:top w:w="57" w:type="dxa"/>
            </w:tcMar>
            <w:vAlign w:val="center"/>
          </w:tcPr>
          <w:p w:rsidR="00392029" w:rsidP="006525CF">
            <w:pPr>
              <w:pStyle w:val="ESBodyText0"/>
              <w:spacing w:line="240" w:lineRule="auto"/>
              <w:jc w:val="center"/>
            </w:pPr>
            <w:r>
              <w:t>97.1%</w:t>
            </w:r>
          </w:p>
        </w:tc>
      </w:tr>
    </w:tbl>
    <w:p w:rsidR="00392029" w:rsidP="00392029">
      <w:pPr>
        <w:pStyle w:val="ESBodyText0"/>
        <w:spacing w:line="240" w:lineRule="auto"/>
      </w:pPr>
    </w:p>
    <w:p w:rsidR="00392029" w:rsidP="00392029">
      <w:pPr>
        <w:pStyle w:val="ESBodyText0"/>
        <w:spacing w:line="240" w:lineRule="auto"/>
      </w:pPr>
    </w:p>
    <w:p w:rsidR="00392029" w:rsidP="00392029">
      <w:pPr>
        <w:pStyle w:val="ESBodyText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4"/>
        <w:gridCol w:w="2438"/>
      </w:tblGrid>
      <w:tr w:rsidTr="006525C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6294" w:type="dxa"/>
            <w:tcMar>
              <w:top w:w="57" w:type="dxa"/>
            </w:tcMar>
            <w:vAlign w:val="center"/>
          </w:tcPr>
          <w:p w:rsidR="00392029" w:rsidRPr="001E6562" w:rsidP="006525CF">
            <w:pPr>
              <w:pStyle w:val="ESBodyText0"/>
              <w:spacing w:line="240" w:lineRule="auto"/>
              <w:rPr>
                <w:rFonts w:eastAsia="Times New Roman"/>
                <w:color w:val="000000"/>
                <w:lang w:eastAsia="en-AU"/>
              </w:rPr>
            </w:pPr>
            <w:r w:rsidRPr="001E6562">
              <w:rPr>
                <w:rFonts w:eastAsia="Times New Roman"/>
                <w:color w:val="000000"/>
                <w:lang w:eastAsia="en-AU"/>
              </w:rPr>
              <w:t>Mean study score from all VCE subjects:</w:t>
            </w:r>
          </w:p>
        </w:tc>
        <w:tc>
          <w:tcPr>
            <w:tcW w:w="2438" w:type="dxa"/>
            <w:tcBorders>
              <w:bottom w:val="single" w:sz="4" w:space="0" w:color="FFFFFF" w:themeColor="background1"/>
            </w:tcBorders>
            <w:shd w:val="clear" w:color="auto" w:fill="FFC000"/>
            <w:tcMar>
              <w:top w:w="57" w:type="dxa"/>
            </w:tcMar>
            <w:vAlign w:val="center"/>
          </w:tcPr>
          <w:p w:rsidR="00392029" w:rsidRPr="001E6562" w:rsidP="006525CF">
            <w:pPr>
              <w:pStyle w:val="ESBodyText0"/>
              <w:spacing w:line="240" w:lineRule="auto"/>
              <w:jc w:val="center"/>
            </w:pPr>
            <w:r>
              <w:t>25.0</w:t>
            </w:r>
          </w:p>
        </w:tc>
      </w:tr>
      <w:tr w:rsidTr="006525CF">
        <w:tblPrEx>
          <w:tblW w:w="0" w:type="auto"/>
          <w:tblLook w:val="04A0"/>
        </w:tblPrEx>
        <w:trPr>
          <w:trHeight w:hRule="exact" w:val="567"/>
        </w:trPr>
        <w:tc>
          <w:tcPr>
            <w:tcW w:w="6294" w:type="dxa"/>
            <w:tcMar>
              <w:top w:w="57" w:type="dxa"/>
            </w:tcMar>
            <w:vAlign w:val="center"/>
          </w:tcPr>
          <w:p w:rsidR="00392029" w:rsidRPr="001E6562" w:rsidP="006525CF">
            <w:pPr>
              <w:pStyle w:val="ESBodyText0"/>
              <w:spacing w:line="240" w:lineRule="auto"/>
            </w:pPr>
            <w:r w:rsidRPr="001E6562">
              <w:rPr>
                <w:rFonts w:eastAsia="Times New Roman"/>
                <w:color w:val="000000"/>
                <w:lang w:eastAsia="en-AU"/>
              </w:rPr>
              <w:t>Number of students awarded the VCE Vocational Major</w:t>
            </w:r>
          </w:p>
        </w:tc>
        <w:tc>
          <w:tcPr>
            <w:tcW w:w="2438" w:type="dxa"/>
            <w:tcBorders>
              <w:bottom w:val="single" w:sz="4" w:space="0" w:color="FFFFFF" w:themeColor="background1"/>
            </w:tcBorders>
            <w:shd w:val="clear" w:color="auto" w:fill="FFC000"/>
            <w:tcMar>
              <w:top w:w="57" w:type="dxa"/>
            </w:tcMar>
            <w:vAlign w:val="center"/>
          </w:tcPr>
          <w:p w:rsidR="00392029" w:rsidRPr="001E6562" w:rsidP="006525CF">
            <w:pPr>
              <w:pStyle w:val="ESBodyText0"/>
              <w:spacing w:line="240" w:lineRule="auto"/>
              <w:jc w:val="center"/>
            </w:pPr>
            <w:r>
              <w:t xml:space="preserve"> 18</w:t>
            </w:r>
          </w:p>
        </w:tc>
      </w:tr>
      <w:tr w:rsidTr="006525CF">
        <w:tblPrEx>
          <w:tblW w:w="0" w:type="auto"/>
          <w:tblLook w:val="04A0"/>
        </w:tblPrEx>
        <w:trPr>
          <w:trHeight w:hRule="exact" w:val="567"/>
        </w:trPr>
        <w:tc>
          <w:tcPr>
            <w:tcW w:w="6294" w:type="dxa"/>
            <w:tcMar>
              <w:top w:w="57" w:type="dxa"/>
            </w:tcMar>
            <w:vAlign w:val="center"/>
          </w:tcPr>
          <w:p w:rsidR="00392029" w:rsidRPr="001E6562" w:rsidP="006525CF">
            <w:pPr>
              <w:pStyle w:val="ESBodyText0"/>
              <w:spacing w:line="240" w:lineRule="auto"/>
            </w:pPr>
            <w:r w:rsidRPr="001E6562">
              <w:rPr>
                <w:rFonts w:eastAsia="Times New Roman"/>
                <w:color w:val="000000"/>
                <w:lang w:eastAsia="en-AU"/>
              </w:rPr>
              <w:t>Number of students awarded the Victorian Pathways Certificate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rsidR="00392029" w:rsidRPr="001E6562" w:rsidP="006525CF">
            <w:pPr>
              <w:pStyle w:val="ESBodyText0"/>
              <w:spacing w:line="240" w:lineRule="auto"/>
              <w:jc w:val="center"/>
            </w:pPr>
            <w:r>
              <w:t>NDP</w:t>
            </w:r>
          </w:p>
        </w:tc>
      </w:tr>
      <w:tr w:rsidTr="006525CF">
        <w:tblPrEx>
          <w:tblW w:w="0" w:type="auto"/>
          <w:tblLook w:val="04A0"/>
        </w:tblPrEx>
        <w:trPr>
          <w:trHeight w:hRule="exact" w:val="567"/>
        </w:trPr>
        <w:tc>
          <w:tcPr>
            <w:tcW w:w="6294" w:type="dxa"/>
            <w:tcMar>
              <w:top w:w="57" w:type="dxa"/>
            </w:tcMar>
            <w:vAlign w:val="center"/>
          </w:tcPr>
          <w:p w:rsidR="00392029" w:rsidP="006525CF">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Year 12 students in 202</w:t>
            </w:r>
            <w:r>
              <w:rPr>
                <w:rFonts w:eastAsia="Times New Roman"/>
                <w:color w:val="000000"/>
                <w:lang w:eastAsia="en-AU"/>
              </w:rPr>
              <w:t>3</w:t>
            </w:r>
            <w:r w:rsidRPr="00B20393">
              <w:rPr>
                <w:rFonts w:eastAsia="Times New Roman"/>
                <w:color w:val="000000"/>
                <w:lang w:eastAsia="en-AU"/>
              </w:rPr>
              <w:t xml:space="preserve"> undertaking at least one Vocational Education and Training (VET) unit of competence:</w:t>
            </w:r>
          </w:p>
        </w:tc>
        <w:tc>
          <w:tcPr>
            <w:tcW w:w="2438" w:type="dxa"/>
            <w:tcBorders>
              <w:top w:val="single" w:sz="4" w:space="0" w:color="FFFFFF" w:themeColor="background1"/>
              <w:bottom w:val="single" w:sz="4" w:space="0" w:color="FFFFFF" w:themeColor="background1"/>
            </w:tcBorders>
            <w:shd w:val="clear" w:color="auto" w:fill="FFC000"/>
            <w:tcMar>
              <w:top w:w="57" w:type="dxa"/>
            </w:tcMar>
            <w:vAlign w:val="center"/>
          </w:tcPr>
          <w:p w:rsidR="00392029" w:rsidP="006525CF">
            <w:pPr>
              <w:pStyle w:val="ESBodyText0"/>
              <w:spacing w:line="240" w:lineRule="auto"/>
              <w:jc w:val="center"/>
            </w:pPr>
            <w:r>
              <w:t xml:space="preserve"> 86%</w:t>
            </w:r>
          </w:p>
        </w:tc>
      </w:tr>
      <w:tr w:rsidTr="006525CF">
        <w:tblPrEx>
          <w:tblW w:w="0" w:type="auto"/>
          <w:tblLook w:val="04A0"/>
        </w:tblPrEx>
        <w:trPr>
          <w:trHeight w:hRule="exact" w:val="567"/>
        </w:trPr>
        <w:tc>
          <w:tcPr>
            <w:tcW w:w="6294" w:type="dxa"/>
            <w:tcMar>
              <w:top w:w="57" w:type="dxa"/>
            </w:tcMar>
            <w:vAlign w:val="center"/>
          </w:tcPr>
          <w:p w:rsidR="00392029" w:rsidP="006525CF">
            <w:pPr>
              <w:pStyle w:val="ESBodyText0"/>
              <w:spacing w:line="240" w:lineRule="auto"/>
            </w:pPr>
            <w:r>
              <w:rPr>
                <w:rFonts w:eastAsia="Times New Roman"/>
                <w:color w:val="000000"/>
                <w:lang w:eastAsia="en-AU"/>
              </w:rPr>
              <w:t xml:space="preserve">Percentage </w:t>
            </w:r>
            <w:r w:rsidRPr="00B20393">
              <w:rPr>
                <w:rFonts w:eastAsia="Times New Roman"/>
                <w:color w:val="000000"/>
                <w:lang w:eastAsia="en-AU"/>
              </w:rPr>
              <w:t>VET units of competence satisfactorily completed in 202</w:t>
            </w:r>
            <w:r w:rsidR="003504E4">
              <w:rPr>
                <w:rFonts w:eastAsia="Times New Roman"/>
                <w:color w:val="000000"/>
                <w:lang w:eastAsia="en-AU"/>
              </w:rPr>
              <w:t>3</w:t>
            </w:r>
            <w:r w:rsidRPr="00B20393">
              <w:rPr>
                <w:rFonts w:eastAsia="Times New Roman"/>
                <w:color w:val="000000"/>
                <w:lang w:eastAsia="en-AU"/>
              </w:rPr>
              <w:t>:</w:t>
            </w:r>
          </w:p>
        </w:tc>
        <w:tc>
          <w:tcPr>
            <w:tcW w:w="2438" w:type="dxa"/>
            <w:tcBorders>
              <w:top w:val="single" w:sz="4" w:space="0" w:color="FFFFFF" w:themeColor="background1"/>
            </w:tcBorders>
            <w:shd w:val="clear" w:color="auto" w:fill="FFC000"/>
            <w:tcMar>
              <w:top w:w="57" w:type="dxa"/>
            </w:tcMar>
            <w:vAlign w:val="center"/>
          </w:tcPr>
          <w:p w:rsidR="00392029" w:rsidP="006525CF">
            <w:pPr>
              <w:pStyle w:val="ESBodyText0"/>
              <w:spacing w:line="240" w:lineRule="auto"/>
              <w:jc w:val="center"/>
            </w:pPr>
            <w:r>
              <w:t xml:space="preserve"> 99%</w:t>
            </w:r>
          </w:p>
        </w:tc>
      </w:tr>
    </w:tbl>
    <w:p w:rsidR="005B6BD9" w:rsidP="006A4059">
      <w:pPr>
        <w:pStyle w:val="ESBodyText0"/>
        <w:spacing w:line="240" w:lineRule="auto"/>
      </w:pPr>
      <w:r>
        <w:rPr>
          <w:noProof/>
        </w:rPr>
        <mc:AlternateContent>
          <mc:Choice Requires="wps">
            <w:drawing>
              <wp:anchor distT="0" distB="0" distL="114300" distR="114300" simplePos="0" relativeHeight="251670528" behindDoc="0" locked="0" layoutInCell="1" allowOverlap="1">
                <wp:simplePos x="0" y="0"/>
                <wp:positionH relativeFrom="margin">
                  <wp:posOffset>-28575</wp:posOffset>
                </wp:positionH>
                <wp:positionV relativeFrom="paragraph">
                  <wp:posOffset>37465</wp:posOffset>
                </wp:positionV>
                <wp:extent cx="6819900" cy="390525"/>
                <wp:effectExtent l="0" t="0" r="0" b="9525"/>
                <wp:wrapNone/>
                <wp:docPr id="32770"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19900" cy="390525"/>
                        </a:xfrm>
                        <a:prstGeom prst="rect">
                          <a:avLst/>
                        </a:prstGeom>
                        <a:solidFill>
                          <a:schemeClr val="lt1"/>
                        </a:solidFill>
                        <a:ln w="6350">
                          <a:noFill/>
                        </a:ln>
                      </wps:spPr>
                      <wps:txbx>
                        <w:txbxContent>
                          <w:p w:rsidR="0030557D" w:rsidRPr="00D37F6E" w:rsidP="002E262E">
                            <w:pPr>
                              <w:pStyle w:val="ListParagraph"/>
                              <w:ind w:left="142"/>
                              <w:rPr>
                                <w:i/>
                                <w:iCs/>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3" o:spid="_x0000_s1026" type="#_x0000_t202" alt="&quot;&quot;" style="height:30.75pt;margin-left:-2.25pt;margin-top:2.95pt;mso-height-percent:0;mso-height-relative:margin;mso-position-horizontal-relative:margin;mso-width-percent:0;mso-width-relative:margin;mso-wrap-distance-bottom:0;mso-wrap-distance-left:9pt;mso-wrap-distance-right:9pt;mso-wrap-distance-top:0;mso-wrap-style:square;position:absolute;v-text-anchor:top;visibility:visible;width:537pt;z-index:251671552" fillcolor="white" stroked="f" strokeweight="0.5pt">
                <v:textbox>
                  <w:txbxContent>
                    <w:p w:rsidR="0030557D" w:rsidRPr="00D37F6E" w:rsidP="002E262E">
                      <w:pPr>
                        <w:pStyle w:val="ListParagraph"/>
                        <w:ind w:left="142"/>
                        <w:rPr>
                          <w:i/>
                          <w:iCs/>
                          <w:lang w:val="en-AU"/>
                        </w:rPr>
                      </w:pPr>
                    </w:p>
                  </w:txbxContent>
                </v:textbox>
                <w10:wrap anchorx="margin"/>
              </v:shape>
            </w:pict>
          </mc:Fallback>
        </mc:AlternateContent>
      </w:r>
    </w:p>
    <w:p w:rsidR="005B6BD9">
      <w:pPr>
        <w:spacing w:after="0" w:line="240" w:lineRule="auto"/>
      </w:pPr>
    </w:p>
    <w:p w:rsidR="0030557D">
      <w:pPr>
        <w:spacing w:after="0" w:line="240" w:lineRule="auto"/>
      </w:pPr>
    </w:p>
    <w:p w:rsidR="0030557D">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EA259E">
      <w:pPr>
        <w:spacing w:after="0" w:line="240" w:lineRule="auto"/>
      </w:pPr>
    </w:p>
    <w:p w:rsidR="00EA259E">
      <w:pPr>
        <w:spacing w:after="0" w:line="240" w:lineRule="auto"/>
      </w:pPr>
    </w:p>
    <w:p w:rsidR="00EA259E">
      <w:pPr>
        <w:spacing w:after="0" w:line="240" w:lineRule="auto"/>
      </w:pPr>
    </w:p>
    <w:p w:rsidR="00EA259E">
      <w:pPr>
        <w:spacing w:after="0" w:line="240" w:lineRule="auto"/>
      </w:pPr>
    </w:p>
    <w:p w:rsidR="00EA259E">
      <w:pPr>
        <w:spacing w:after="0" w:line="240" w:lineRule="auto"/>
      </w:pPr>
    </w:p>
    <w:p w:rsidR="00EA259E">
      <w:pPr>
        <w:spacing w:after="0" w:line="240" w:lineRule="auto"/>
      </w:pPr>
    </w:p>
    <w:p w:rsidR="00EA259E">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rsidP="007F1B5B">
      <w:pPr>
        <w:pStyle w:val="Style10"/>
      </w:pPr>
      <w:r>
        <w:t>WELLBEING</w:t>
      </w:r>
    </w:p>
    <w:p w:rsidR="007F1B5B" w:rsidP="007F1B5B">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7F1B5B" w:rsidP="007F1B5B">
      <w:pPr>
        <w:pStyle w:val="ESHeading30"/>
      </w:pPr>
      <w:r>
        <w:t>Student Attitudes to School – Sense of Connectedness</w:t>
      </w:r>
    </w:p>
    <w:p w:rsidR="007F1B5B" w:rsidP="007F1B5B">
      <w:pPr>
        <w:pStyle w:val="ESBodyText0"/>
      </w:pPr>
      <w:r>
        <w:t>The percent</w:t>
      </w:r>
      <w:r w:rsidR="00594C01">
        <w:t>age</w:t>
      </w:r>
      <w:r>
        <w:t xml:space="preserve"> endorsement on Sense of Connectedness factor, as reported in the Attitudes to School Survey completed annually by Victorian government school students, indicates the percent of positive responses (agree or strongly agree).</w:t>
      </w:r>
    </w:p>
    <w:p w:rsidR="007F1B5B" w:rsidP="007F1B5B">
      <w:pPr>
        <w:pStyle w:val="ESBodyText0"/>
      </w:pPr>
      <w:r>
        <w:rPr>
          <w:noProof/>
        </w:rPr>
        <w:drawing>
          <wp:anchor distT="0" distB="0" distL="114300" distR="114300" simplePos="0" relativeHeight="251673600" behindDoc="0" locked="0" layoutInCell="1" allowOverlap="1">
            <wp:simplePos x="0" y="0"/>
            <wp:positionH relativeFrom="column">
              <wp:posOffset>3364229</wp:posOffset>
            </wp:positionH>
            <wp:positionV relativeFrom="paragraph">
              <wp:posOffset>172720</wp:posOffset>
            </wp:positionV>
            <wp:extent cx="3514725" cy="1876425"/>
            <wp:effectExtent l="0" t="0" r="0" b="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7604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7F1B5B" w:rsidP="00760492">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7F1B5B" w:rsidRPr="00B20B33"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rsidR="007F1B5B" w:rsidP="00760492">
            <w:pPr>
              <w:pStyle w:val="ESBodyText0"/>
              <w:spacing w:line="240" w:lineRule="auto"/>
              <w:jc w:val="center"/>
            </w:pPr>
            <w:r>
              <w:t>Latest year (202</w:t>
            </w:r>
            <w:r w:rsidR="00594C01">
              <w:t>3</w:t>
            </w:r>
            <w:r>
              <w:t>)</w:t>
            </w:r>
          </w:p>
        </w:tc>
        <w:tc>
          <w:tcPr>
            <w:tcW w:w="1060" w:type="dxa"/>
            <w:vAlign w:val="bottom"/>
          </w:tcPr>
          <w:p w:rsidR="007F1B5B" w:rsidP="00760492">
            <w:pPr>
              <w:pStyle w:val="ESBodyText0"/>
              <w:spacing w:line="240" w:lineRule="auto"/>
              <w:jc w:val="center"/>
            </w:pPr>
            <w:r>
              <w:t>4-year average</w:t>
            </w:r>
          </w:p>
        </w:tc>
      </w:tr>
      <w:tr w:rsidTr="00760492">
        <w:tblPrEx>
          <w:tblW w:w="0" w:type="auto"/>
          <w:tblLayout w:type="fixed"/>
          <w:tblLook w:val="04A0"/>
        </w:tblPrEx>
        <w:trPr>
          <w:trHeight w:hRule="exact" w:val="567"/>
        </w:trPr>
        <w:tc>
          <w:tcPr>
            <w:tcW w:w="2835" w:type="dxa"/>
            <w:tcMar>
              <w:top w:w="57" w:type="dxa"/>
            </w:tcMar>
            <w:vAlign w:val="center"/>
          </w:tcPr>
          <w:p w:rsidR="007F1B5B" w:rsidP="00760492">
            <w:pPr>
              <w:pStyle w:val="ESBodyText0"/>
              <w:spacing w:line="240" w:lineRule="auto"/>
            </w:pPr>
            <w:r>
              <w:t>School percent</w:t>
            </w:r>
            <w:r w:rsidR="00594C01">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7F1B5B" w:rsidP="00760492">
            <w:pPr>
              <w:pStyle w:val="ESBodyText0"/>
              <w:spacing w:line="240" w:lineRule="auto"/>
              <w:jc w:val="center"/>
            </w:pPr>
            <w:r>
              <w:t>68.8%</w:t>
            </w:r>
          </w:p>
        </w:tc>
        <w:tc>
          <w:tcPr>
            <w:tcW w:w="1060" w:type="dxa"/>
            <w:tcBorders>
              <w:bottom w:val="single" w:sz="4" w:space="0" w:color="FFFFFF" w:themeColor="background1"/>
            </w:tcBorders>
            <w:shd w:val="clear" w:color="auto" w:fill="FFC000"/>
            <w:tcMar>
              <w:top w:w="57" w:type="dxa"/>
            </w:tcMar>
            <w:vAlign w:val="center"/>
          </w:tcPr>
          <w:p w:rsidR="007F1B5B" w:rsidP="00760492">
            <w:pPr>
              <w:pStyle w:val="ESBodyText0"/>
              <w:spacing w:line="240" w:lineRule="auto"/>
              <w:jc w:val="center"/>
            </w:pPr>
            <w:r>
              <w:t>66.1%</w:t>
            </w:r>
          </w:p>
        </w:tc>
      </w:tr>
      <w:tr w:rsidTr="00760492">
        <w:tblPrEx>
          <w:tblW w:w="0" w:type="auto"/>
          <w:tblLayout w:type="fixed"/>
          <w:tblLook w:val="04A0"/>
        </w:tblPrEx>
        <w:trPr>
          <w:trHeight w:hRule="exact" w:val="567"/>
        </w:trPr>
        <w:tc>
          <w:tcPr>
            <w:tcW w:w="2835" w:type="dxa"/>
            <w:tcMar>
              <w:top w:w="57" w:type="dxa"/>
            </w:tcMar>
            <w:vAlign w:val="center"/>
          </w:tcPr>
          <w:p w:rsidR="007F1B5B"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7F1B5B" w:rsidRPr="00B20B33" w:rsidP="00760492">
            <w:pPr>
              <w:pStyle w:val="ESBodyText0"/>
              <w:spacing w:line="240" w:lineRule="auto"/>
              <w:jc w:val="center"/>
              <w:rPr>
                <w:color w:val="FFFFFF" w:themeColor="background1"/>
              </w:rPr>
            </w:pPr>
            <w:r>
              <w:rPr>
                <w:color w:val="FFFFFF" w:themeColor="background1"/>
              </w:rPr>
              <w:t>42.8%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7F1B5B" w:rsidRPr="00B20B33" w:rsidP="00760492">
            <w:pPr>
              <w:pStyle w:val="ESBodyText0"/>
              <w:spacing w:line="240" w:lineRule="auto"/>
              <w:jc w:val="center"/>
              <w:rPr>
                <w:color w:val="FFFFFF" w:themeColor="background1"/>
              </w:rPr>
            </w:pPr>
            <w:r>
              <w:rPr>
                <w:color w:val="FFFFFF" w:themeColor="background1"/>
              </w:rPr>
              <w:t>47.2%</w:t>
            </w:r>
          </w:p>
        </w:tc>
      </w:tr>
      <w:tr w:rsidTr="00760492">
        <w:tblPrEx>
          <w:tblW w:w="0" w:type="auto"/>
          <w:tblLayout w:type="fixed"/>
          <w:tblLook w:val="04A0"/>
        </w:tblPrEx>
        <w:trPr>
          <w:trHeight w:hRule="exact" w:val="567"/>
        </w:trPr>
        <w:tc>
          <w:tcPr>
            <w:tcW w:w="2835" w:type="dxa"/>
            <w:tcMar>
              <w:top w:w="57" w:type="dxa"/>
            </w:tcMar>
            <w:vAlign w:val="center"/>
          </w:tcPr>
          <w:p w:rsidR="007F1B5B"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7F1B5B" w:rsidP="00760492">
            <w:pPr>
              <w:pStyle w:val="ESBodyText0"/>
              <w:spacing w:line="240" w:lineRule="auto"/>
              <w:jc w:val="center"/>
            </w:pPr>
            <w:r>
              <w:t>45.3%</w:t>
            </w:r>
          </w:p>
        </w:tc>
        <w:tc>
          <w:tcPr>
            <w:tcW w:w="1060" w:type="dxa"/>
            <w:tcBorders>
              <w:top w:val="single" w:sz="4" w:space="0" w:color="FFFFFF" w:themeColor="background1"/>
            </w:tcBorders>
            <w:shd w:val="clear" w:color="auto" w:fill="A6A6A6" w:themeFill="background1" w:themeFillShade="A6"/>
            <w:tcMar>
              <w:top w:w="57" w:type="dxa"/>
            </w:tcMar>
            <w:vAlign w:val="center"/>
          </w:tcPr>
          <w:p w:rsidR="007F1B5B" w:rsidP="00760492">
            <w:pPr>
              <w:pStyle w:val="ESBodyText0"/>
              <w:spacing w:line="240" w:lineRule="auto"/>
              <w:jc w:val="center"/>
            </w:pPr>
            <w:r>
              <w:t>49.9%</w:t>
            </w:r>
          </w:p>
        </w:tc>
      </w:tr>
    </w:tbl>
    <w:p w:rsidR="007F1B5B" w:rsidP="007F1B5B">
      <w:pPr>
        <w:pStyle w:val="ESBodyText0"/>
      </w:pPr>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1270</wp:posOffset>
                </wp:positionV>
                <wp:extent cx="3686175" cy="857250"/>
                <wp:effectExtent l="0" t="0" r="9525" b="0"/>
                <wp:wrapNone/>
                <wp:docPr id="3277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857250"/>
                        </a:xfrm>
                        <a:prstGeom prst="rect">
                          <a:avLst/>
                        </a:prstGeom>
                        <a:solidFill>
                          <a:schemeClr val="lt1"/>
                        </a:solidFill>
                        <a:ln w="6350">
                          <a:noFill/>
                        </a:ln>
                      </wps:spPr>
                      <wps:txbx>
                        <w:txbxContent>
                          <w:p w:rsidR="007F1B5B" w:rsidRPr="00A55216" w:rsidP="007F1B5B">
                            <w:pPr>
                              <w:rPr>
                                <w:i/>
                                <w:iCs/>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7" o:spid="_x0000_s1027" type="#_x0000_t202" alt="&quot;&quot;" style="height:67.5pt;margin-left:0;margin-top:0.1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7F1B5B" w:rsidRPr="00A55216" w:rsidP="007F1B5B">
                      <w:pPr>
                        <w:rPr>
                          <w:i/>
                          <w:iCs/>
                          <w:lang w:val="en-AU"/>
                        </w:rPr>
                      </w:pPr>
                    </w:p>
                  </w:txbxContent>
                </v:textbox>
                <w10:wrap anchorx="margin"/>
              </v:shape>
            </w:pict>
          </mc:Fallback>
        </mc:AlternateContent>
      </w:r>
    </w:p>
    <w:p w:rsidR="007F1B5B" w:rsidP="007F1B5B">
      <w:pPr>
        <w:pStyle w:val="ESBodyText0"/>
      </w:pPr>
    </w:p>
    <w:p w:rsidR="007F1B5B" w:rsidP="007F1B5B">
      <w:pPr>
        <w:pStyle w:val="ESBodyText0"/>
        <w:spacing w:after="0" w:line="240" w:lineRule="auto"/>
      </w:pPr>
    </w:p>
    <w:p w:rsidR="007F1B5B" w:rsidP="007F1B5B">
      <w:pPr>
        <w:pStyle w:val="ESBodyText0"/>
        <w:spacing w:after="0" w:line="240" w:lineRule="auto"/>
      </w:pPr>
    </w:p>
    <w:p w:rsidR="007F1B5B" w:rsidP="007F1B5B">
      <w:pPr>
        <w:pStyle w:val="ESHeading30"/>
        <w:spacing w:before="120"/>
      </w:pPr>
    </w:p>
    <w:p w:rsidR="007F1B5B" w:rsidP="007F1B5B">
      <w:pPr>
        <w:pStyle w:val="ESHeading30"/>
      </w:pPr>
      <w:r>
        <w:t>Student Attitudes to School – Management of Bullying</w:t>
      </w:r>
    </w:p>
    <w:p w:rsidR="007F1B5B" w:rsidP="007F1B5B">
      <w:pPr>
        <w:pStyle w:val="ESBodyText0"/>
      </w:pPr>
      <w:r>
        <w:t>The percent</w:t>
      </w:r>
      <w:r w:rsidR="00BC6BE7">
        <w:t>age</w:t>
      </w:r>
      <w:r>
        <w:t xml:space="preserve"> endorsement on Management of Bullying factor, as reported in the Attitudes to School Survey completed annually by Victorian government school students, indicates the percent of positive responses (agree or strongly agree).</w:t>
      </w:r>
    </w:p>
    <w:p w:rsidR="007F1B5B" w:rsidP="007F1B5B">
      <w:pPr>
        <w:pStyle w:val="ESBodyText0"/>
      </w:pPr>
      <w:r>
        <w:rPr>
          <w:noProof/>
        </w:rPr>
        <w:drawing>
          <wp:anchor distT="0" distB="0" distL="114300" distR="114300" simplePos="0" relativeHeight="251672576" behindDoc="0" locked="0" layoutInCell="1" allowOverlap="1">
            <wp:simplePos x="0" y="0"/>
            <wp:positionH relativeFrom="column">
              <wp:posOffset>3364229</wp:posOffset>
            </wp:positionH>
            <wp:positionV relativeFrom="paragraph">
              <wp:posOffset>167005</wp:posOffset>
            </wp:positionV>
            <wp:extent cx="3514725" cy="1876425"/>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7604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7F1B5B" w:rsidP="00760492">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7F1B5B" w:rsidRPr="00B20B33" w:rsidP="00760492">
            <w:pPr>
              <w:pStyle w:val="ESBodyText0"/>
              <w:spacing w:line="240" w:lineRule="auto"/>
              <w:rPr>
                <w:b/>
                <w:bCs/>
              </w:rPr>
            </w:pPr>
            <w:r>
              <w:rPr>
                <w:rFonts w:eastAsia="Times New Roman"/>
                <w:b/>
                <w:bCs/>
                <w:color w:val="000000"/>
                <w:lang w:val="en-AU" w:eastAsia="en-AU"/>
              </w:rPr>
              <w:t>Years 7 to 12</w:t>
            </w:r>
          </w:p>
        </w:tc>
        <w:tc>
          <w:tcPr>
            <w:tcW w:w="1134" w:type="dxa"/>
            <w:vAlign w:val="bottom"/>
          </w:tcPr>
          <w:p w:rsidR="007F1B5B" w:rsidP="00760492">
            <w:pPr>
              <w:pStyle w:val="ESBodyText0"/>
              <w:spacing w:line="240" w:lineRule="auto"/>
              <w:jc w:val="center"/>
            </w:pPr>
            <w:r>
              <w:t>Latest year (202</w:t>
            </w:r>
            <w:r w:rsidR="00594C01">
              <w:t>3</w:t>
            </w:r>
            <w:r>
              <w:t>)</w:t>
            </w:r>
          </w:p>
        </w:tc>
        <w:tc>
          <w:tcPr>
            <w:tcW w:w="1060" w:type="dxa"/>
            <w:vAlign w:val="bottom"/>
          </w:tcPr>
          <w:p w:rsidR="007F1B5B" w:rsidP="00760492">
            <w:pPr>
              <w:pStyle w:val="ESBodyText0"/>
              <w:spacing w:line="240" w:lineRule="auto"/>
              <w:jc w:val="center"/>
            </w:pPr>
            <w:r>
              <w:t>4-year average</w:t>
            </w:r>
          </w:p>
        </w:tc>
      </w:tr>
      <w:tr w:rsidTr="00760492">
        <w:tblPrEx>
          <w:tblW w:w="0" w:type="auto"/>
          <w:tblLayout w:type="fixed"/>
          <w:tblLook w:val="04A0"/>
        </w:tblPrEx>
        <w:trPr>
          <w:trHeight w:hRule="exact" w:val="567"/>
        </w:trPr>
        <w:tc>
          <w:tcPr>
            <w:tcW w:w="2835" w:type="dxa"/>
            <w:tcMar>
              <w:top w:w="57" w:type="dxa"/>
            </w:tcMar>
            <w:vAlign w:val="center"/>
          </w:tcPr>
          <w:p w:rsidR="007F1B5B" w:rsidP="00760492">
            <w:pPr>
              <w:pStyle w:val="ESBodyText0"/>
              <w:spacing w:line="240" w:lineRule="auto"/>
            </w:pPr>
            <w:r>
              <w:t>School percent</w:t>
            </w:r>
            <w:r w:rsidR="00594C01">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7F1B5B" w:rsidP="00760492">
            <w:pPr>
              <w:pStyle w:val="ESBodyText0"/>
              <w:spacing w:line="240" w:lineRule="auto"/>
              <w:jc w:val="center"/>
            </w:pPr>
            <w:r>
              <w:t>70.3%</w:t>
            </w:r>
          </w:p>
        </w:tc>
        <w:tc>
          <w:tcPr>
            <w:tcW w:w="1060" w:type="dxa"/>
            <w:tcBorders>
              <w:bottom w:val="single" w:sz="4" w:space="0" w:color="FFFFFF" w:themeColor="background1"/>
            </w:tcBorders>
            <w:shd w:val="clear" w:color="auto" w:fill="FFC000"/>
            <w:tcMar>
              <w:top w:w="57" w:type="dxa"/>
            </w:tcMar>
            <w:vAlign w:val="center"/>
          </w:tcPr>
          <w:p w:rsidR="007F1B5B" w:rsidP="00760492">
            <w:pPr>
              <w:pStyle w:val="ESBodyText0"/>
              <w:spacing w:line="240" w:lineRule="auto"/>
              <w:jc w:val="center"/>
            </w:pPr>
            <w:r>
              <w:t>69.3%</w:t>
            </w:r>
          </w:p>
        </w:tc>
      </w:tr>
      <w:tr w:rsidTr="00760492">
        <w:tblPrEx>
          <w:tblW w:w="0" w:type="auto"/>
          <w:tblLayout w:type="fixed"/>
          <w:tblLook w:val="04A0"/>
        </w:tblPrEx>
        <w:trPr>
          <w:trHeight w:hRule="exact" w:val="567"/>
        </w:trPr>
        <w:tc>
          <w:tcPr>
            <w:tcW w:w="2835" w:type="dxa"/>
            <w:tcMar>
              <w:top w:w="57" w:type="dxa"/>
            </w:tcMar>
            <w:vAlign w:val="center"/>
          </w:tcPr>
          <w:p w:rsidR="007F1B5B" w:rsidP="00760492">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7F1B5B" w:rsidRPr="00B20B33" w:rsidP="00760492">
            <w:pPr>
              <w:pStyle w:val="ESBodyText0"/>
              <w:spacing w:line="240" w:lineRule="auto"/>
              <w:jc w:val="center"/>
              <w:rPr>
                <w:color w:val="FFFFFF" w:themeColor="background1"/>
              </w:rPr>
            </w:pPr>
            <w:r>
              <w:rPr>
                <w:color w:val="FFFFFF" w:themeColor="background1"/>
              </w:rPr>
              <w:t>44.0%</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7F1B5B" w:rsidRPr="00B20B33" w:rsidP="00760492">
            <w:pPr>
              <w:pStyle w:val="ESBodyText0"/>
              <w:spacing w:line="240" w:lineRule="auto"/>
              <w:jc w:val="center"/>
              <w:rPr>
                <w:color w:val="FFFFFF" w:themeColor="background1"/>
              </w:rPr>
            </w:pPr>
            <w:r>
              <w:rPr>
                <w:color w:val="FFFFFF" w:themeColor="background1"/>
              </w:rPr>
              <w:t>48.0%</w:t>
            </w:r>
          </w:p>
        </w:tc>
      </w:tr>
      <w:tr w:rsidTr="00760492">
        <w:tblPrEx>
          <w:tblW w:w="0" w:type="auto"/>
          <w:tblLayout w:type="fixed"/>
          <w:tblLook w:val="04A0"/>
        </w:tblPrEx>
        <w:trPr>
          <w:trHeight w:hRule="exact" w:val="567"/>
        </w:trPr>
        <w:tc>
          <w:tcPr>
            <w:tcW w:w="2835" w:type="dxa"/>
            <w:tcMar>
              <w:top w:w="57" w:type="dxa"/>
            </w:tcMar>
            <w:vAlign w:val="center"/>
          </w:tcPr>
          <w:p w:rsidR="007F1B5B" w:rsidP="00760492">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7F1B5B" w:rsidP="00760492">
            <w:pPr>
              <w:pStyle w:val="ESBodyText0"/>
              <w:spacing w:line="240" w:lineRule="auto"/>
              <w:jc w:val="center"/>
            </w:pPr>
            <w:r>
              <w:t>46.6%</w:t>
            </w:r>
          </w:p>
        </w:tc>
        <w:tc>
          <w:tcPr>
            <w:tcW w:w="1060" w:type="dxa"/>
            <w:tcBorders>
              <w:top w:val="single" w:sz="4" w:space="0" w:color="FFFFFF" w:themeColor="background1"/>
            </w:tcBorders>
            <w:shd w:val="clear" w:color="auto" w:fill="A6A6A6" w:themeFill="background1" w:themeFillShade="A6"/>
            <w:tcMar>
              <w:top w:w="57" w:type="dxa"/>
            </w:tcMar>
            <w:vAlign w:val="center"/>
          </w:tcPr>
          <w:p w:rsidR="007F1B5B" w:rsidP="00760492">
            <w:pPr>
              <w:pStyle w:val="ESBodyText0"/>
              <w:spacing w:line="240" w:lineRule="auto"/>
              <w:jc w:val="center"/>
            </w:pPr>
            <w:r>
              <w:t>51.0%</w:t>
            </w:r>
          </w:p>
        </w:tc>
      </w:tr>
    </w:tbl>
    <w:p w:rsidR="007F1B5B" w:rsidRPr="00A55216" w:rsidP="007F1B5B">
      <w:pPr>
        <w:pStyle w:val="ESBodyText0"/>
      </w:pPr>
      <w:r>
        <w:rPr>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-4445</wp:posOffset>
                </wp:positionV>
                <wp:extent cx="3686175" cy="866775"/>
                <wp:effectExtent l="0" t="0" r="9525" b="9525"/>
                <wp:wrapNone/>
                <wp:docPr id="3278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866775"/>
                        </a:xfrm>
                        <a:prstGeom prst="rect">
                          <a:avLst/>
                        </a:prstGeom>
                        <a:solidFill>
                          <a:schemeClr val="lt1"/>
                        </a:solidFill>
                        <a:ln w="6350">
                          <a:noFill/>
                        </a:ln>
                      </wps:spPr>
                      <wps:txbx>
                        <w:txbxContent>
                          <w:p w:rsidR="007F1B5B" w:rsidRPr="00A55216" w:rsidP="007F1B5B">
                            <w:pPr>
                              <w:rPr>
                                <w:i/>
                                <w:iCs/>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10" o:spid="_x0000_s1028" type="#_x0000_t202" alt="&quot;&quot;" style="height:68.25pt;margin-left:0;margin-top:-0.35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7696" fillcolor="white" stroked="f" strokeweight="0.5pt">
                <v:textbox>
                  <w:txbxContent>
                    <w:p w:rsidR="007F1B5B" w:rsidRPr="00A55216" w:rsidP="007F1B5B">
                      <w:pPr>
                        <w:rPr>
                          <w:i/>
                          <w:iCs/>
                          <w:lang w:val="en-AU"/>
                        </w:rPr>
                      </w:pPr>
                    </w:p>
                  </w:txbxContent>
                </v:textbox>
                <w10:wrap anchorx="margin"/>
              </v:shape>
            </w:pict>
          </mc:Fallback>
        </mc:AlternateContent>
      </w:r>
    </w:p>
    <w:p w:rsidR="007F1B5B" w:rsidRPr="00A55216" w:rsidP="007F1B5B">
      <w:pPr>
        <w:pStyle w:val="ESBodyText0"/>
      </w:pPr>
    </w:p>
    <w:p w:rsidR="007F1B5B" w:rsidRPr="00A55216" w:rsidP="007F1B5B">
      <w:pPr>
        <w:spacing w:after="0" w:line="240" w:lineRule="auto"/>
        <w:rPr>
          <w:rFonts w:eastAsiaTheme="majorEastAsia" w:cstheme="majorBidi"/>
          <w:bCs/>
          <w:caps/>
          <w:sz w:val="20"/>
          <w:szCs w:val="20"/>
        </w:rPr>
      </w:pPr>
    </w:p>
    <w:p w:rsidR="007F1B5B" w:rsidRPr="00A55216" w:rsidP="007F1B5B">
      <w:pPr>
        <w:spacing w:after="0" w:line="240" w:lineRule="auto"/>
        <w:rPr>
          <w:rFonts w:eastAsiaTheme="majorEastAsia" w:cstheme="majorBidi"/>
          <w:bCs/>
          <w:caps/>
          <w:sz w:val="20"/>
          <w:szCs w:val="20"/>
        </w:rPr>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7F1B5B">
      <w:pPr>
        <w:spacing w:after="0" w:line="240" w:lineRule="auto"/>
      </w:pPr>
    </w:p>
    <w:p w:rsidR="009E6D61" w:rsidP="00B637FF">
      <w:pPr>
        <w:pStyle w:val="Style10"/>
      </w:pPr>
      <w:r>
        <w:t>ENGAGEMENT</w:t>
      </w:r>
    </w:p>
    <w:p w:rsidR="00666BAD" w:rsidP="00874585">
      <w:pPr>
        <w:pStyle w:val="ESBodyText0"/>
        <w:spacing w:before="240" w:line="240" w:lineRule="auto"/>
        <w:ind w:left="567" w:hanging="567"/>
        <w:rPr>
          <w:b/>
          <w:i/>
        </w:rPr>
      </w:pPr>
      <w:r>
        <w:rPr>
          <w:b/>
          <w:i/>
        </w:rPr>
        <w:t>Key:</w:t>
      </w:r>
      <w:r>
        <w:rPr>
          <w:b/>
          <w:i/>
        </w:rPr>
        <w:tab/>
      </w:r>
      <w:r w:rsidR="000B5315">
        <w:rPr>
          <w:b/>
          <w:i/>
        </w:rPr>
        <w:t>‘</w:t>
      </w:r>
      <w:r>
        <w:rPr>
          <w:b/>
          <w:i/>
        </w:rPr>
        <w:t>Similar Schools</w:t>
      </w:r>
      <w:r w:rsidR="000B5315">
        <w:rPr>
          <w:b/>
          <w:i/>
        </w:rPr>
        <w:t>’</w:t>
      </w:r>
      <w:r>
        <w:rPr>
          <w:b/>
          <w:i/>
        </w:rPr>
        <w:t xml:space="preserve">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9E6D61" w:rsidP="00874585">
      <w:pPr>
        <w:pStyle w:val="ESHeading30"/>
      </w:pPr>
      <w:r>
        <w:t>Average Number of Student Absence Days</w:t>
      </w:r>
    </w:p>
    <w:p w:rsidR="001016C0" w:rsidP="00A55216">
      <w:pPr>
        <w:pStyle w:val="ESBodyText0"/>
        <w:spacing w:after="0"/>
      </w:pPr>
      <w:r>
        <w:t>Absence from school can impact on students’ learning.</w:t>
      </w:r>
      <w:r w:rsidR="00731F19">
        <w:t xml:space="preserve"> </w:t>
      </w:r>
      <w:r>
        <w:t>Common reasons for non-attendance include illness and extended family holidays.</w:t>
      </w:r>
      <w:r w:rsidR="00A55216">
        <w:t xml:space="preserve"> </w:t>
      </w:r>
    </w:p>
    <w:p w:rsidR="002E45F9">
      <w:pPr>
        <w:pStyle w:val="ESBodyText0"/>
      </w:pPr>
      <w:r>
        <w:rPr>
          <w:noProof/>
        </w:rPr>
        <w:drawing>
          <wp:anchor distT="0" distB="0" distL="114300" distR="114300" simplePos="0" relativeHeight="251665408" behindDoc="0" locked="0" layoutInCell="1" allowOverlap="1">
            <wp:simplePos x="0" y="0"/>
            <wp:positionH relativeFrom="column">
              <wp:posOffset>3402330</wp:posOffset>
            </wp:positionH>
            <wp:positionV relativeFrom="paragraph">
              <wp:posOffset>210820</wp:posOffset>
            </wp:positionV>
            <wp:extent cx="3514725" cy="1866900"/>
            <wp:effectExtent l="0" t="0" r="0" b="0"/>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8A2551"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8A2551" w:rsidRPr="00B20B33" w:rsidP="00BA1967">
            <w:pPr>
              <w:pStyle w:val="ESBodyText0"/>
              <w:spacing w:line="240" w:lineRule="auto"/>
              <w:rPr>
                <w:b/>
                <w:bCs/>
              </w:rPr>
            </w:pPr>
            <w:r>
              <w:rPr>
                <w:rFonts w:eastAsia="Times New Roman"/>
                <w:b/>
                <w:bCs/>
                <w:color w:val="000000"/>
                <w:lang w:val="en-AU" w:eastAsia="en-AU"/>
              </w:rPr>
              <w:t>Years 7 to 12</w:t>
            </w:r>
          </w:p>
        </w:tc>
        <w:tc>
          <w:tcPr>
            <w:tcW w:w="1131" w:type="dxa"/>
            <w:vAlign w:val="bottom"/>
          </w:tcPr>
          <w:p w:rsidR="008A2551" w:rsidP="00BA1967">
            <w:pPr>
              <w:pStyle w:val="ESBodyText0"/>
              <w:spacing w:line="240" w:lineRule="auto"/>
              <w:jc w:val="center"/>
            </w:pPr>
            <w:r>
              <w:t>Latest year (202</w:t>
            </w:r>
            <w:r w:rsidR="00594C01">
              <w:t>3</w:t>
            </w:r>
            <w:r>
              <w:t>)</w:t>
            </w:r>
          </w:p>
        </w:tc>
        <w:tc>
          <w:tcPr>
            <w:tcW w:w="1132" w:type="dxa"/>
            <w:vAlign w:val="bottom"/>
          </w:tcPr>
          <w:p w:rsidR="008A2551"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8A2551" w:rsidP="00BA1967">
            <w:pPr>
              <w:pStyle w:val="ESBodyText0"/>
              <w:spacing w:line="240" w:lineRule="auto"/>
              <w:jc w:val="center"/>
            </w:pPr>
            <w:r>
              <w:t>34.3</w:t>
            </w:r>
          </w:p>
        </w:tc>
        <w:tc>
          <w:tcPr>
            <w:tcW w:w="1132" w:type="dxa"/>
            <w:tcBorders>
              <w:bottom w:val="single" w:sz="4" w:space="0" w:color="FFFFFF" w:themeColor="background1"/>
            </w:tcBorders>
            <w:shd w:val="clear" w:color="auto" w:fill="FFC000"/>
            <w:tcMar>
              <w:top w:w="57" w:type="dxa"/>
            </w:tcMar>
            <w:vAlign w:val="center"/>
          </w:tcPr>
          <w:p w:rsidR="008A2551" w:rsidP="00BA1967">
            <w:pPr>
              <w:pStyle w:val="ESBodyText0"/>
              <w:spacing w:line="240" w:lineRule="auto"/>
              <w:jc w:val="center"/>
            </w:pPr>
            <w:r>
              <w:t>27.5</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8A2551" w:rsidRPr="00B20B33" w:rsidP="00BA1967">
            <w:pPr>
              <w:pStyle w:val="ESBodyText0"/>
              <w:spacing w:line="240" w:lineRule="auto"/>
              <w:jc w:val="center"/>
              <w:rPr>
                <w:color w:val="FFFFFF" w:themeColor="background1"/>
              </w:rPr>
            </w:pPr>
            <w:r>
              <w:rPr>
                <w:color w:val="FFFFFF" w:themeColor="background1"/>
              </w:rPr>
              <w:t>32.3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8A2551" w:rsidRPr="00B20B33" w:rsidP="00BA1967">
            <w:pPr>
              <w:pStyle w:val="ESBodyText0"/>
              <w:spacing w:line="240" w:lineRule="auto"/>
              <w:jc w:val="center"/>
              <w:rPr>
                <w:color w:val="FFFFFF" w:themeColor="background1"/>
              </w:rPr>
            </w:pPr>
            <w:r>
              <w:rPr>
                <w:color w:val="FFFFFF" w:themeColor="background1"/>
              </w:rPr>
              <w:t>28.2</w:t>
            </w:r>
          </w:p>
        </w:tc>
      </w:tr>
      <w:tr w:rsidTr="00301A6C">
        <w:tblPrEx>
          <w:tblW w:w="0" w:type="auto"/>
          <w:tblLook w:val="04A0"/>
        </w:tblPrEx>
        <w:trPr>
          <w:trHeight w:hRule="exact" w:val="567"/>
        </w:trPr>
        <w:tc>
          <w:tcPr>
            <w:tcW w:w="2835" w:type="dxa"/>
            <w:tcMar>
              <w:top w:w="57" w:type="dxa"/>
            </w:tcMar>
            <w:vAlign w:val="center"/>
          </w:tcPr>
          <w:p w:rsidR="008A2551"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8A2551" w:rsidP="00BA1967">
            <w:pPr>
              <w:pStyle w:val="ESBodyText0"/>
              <w:spacing w:line="240" w:lineRule="auto"/>
              <w:jc w:val="center"/>
            </w:pPr>
            <w:r>
              <w:t>28.4</w:t>
            </w:r>
          </w:p>
        </w:tc>
        <w:tc>
          <w:tcPr>
            <w:tcW w:w="1132" w:type="dxa"/>
            <w:tcBorders>
              <w:top w:val="single" w:sz="4" w:space="0" w:color="FFFFFF" w:themeColor="background1"/>
            </w:tcBorders>
            <w:shd w:val="clear" w:color="auto" w:fill="A6A6A6" w:themeFill="background1" w:themeFillShade="A6"/>
            <w:tcMar>
              <w:top w:w="57" w:type="dxa"/>
            </w:tcMar>
            <w:vAlign w:val="center"/>
          </w:tcPr>
          <w:p w:rsidR="008A2551" w:rsidP="00BA1967">
            <w:pPr>
              <w:pStyle w:val="ESBodyText0"/>
              <w:spacing w:line="240" w:lineRule="auto"/>
              <w:jc w:val="center"/>
            </w:pPr>
            <w:r>
              <w:t>23.8</w:t>
            </w:r>
          </w:p>
        </w:tc>
      </w:tr>
    </w:tbl>
    <w:p w:rsidR="006A4059" w:rsidP="006A4059">
      <w:pPr>
        <w:pStyle w:val="ESBodyText0"/>
      </w:pPr>
    </w:p>
    <w:p w:rsidR="006F4FB2" w:rsidP="009E233C">
      <w:pPr>
        <w:pStyle w:val="ESBodyText0"/>
      </w:pPr>
    </w:p>
    <w:p w:rsidR="00EA259E" w:rsidP="009E233C">
      <w:pPr>
        <w:pStyle w:val="ESBodyText0"/>
        <w:rPr>
          <w:b/>
          <w:bCs/>
        </w:rPr>
      </w:pPr>
      <w:r>
        <w:t xml:space="preserve">  </w:t>
      </w:r>
      <w:r w:rsidRPr="00EA259E">
        <w:rPr>
          <w:b/>
          <w:bCs/>
        </w:rPr>
        <w:t>Attendance Rate (latest year)</w:t>
      </w:r>
    </w:p>
    <w:p w:rsidR="00EA259E" w:rsidRPr="00EA259E" w:rsidP="009E233C">
      <w:pPr>
        <w:pStyle w:val="ESBodyText0"/>
      </w:pPr>
      <w:r>
        <w:rPr>
          <w:b/>
          <w:bCs/>
        </w:rPr>
        <w:t xml:space="preserve">  </w:t>
      </w:r>
      <w:r w:rsidRPr="00EA259E">
        <w:t xml:space="preserve">Attendance </w:t>
      </w:r>
      <w:r>
        <w:t>rate refers to the average proportion of formal school days students in each year level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275"/>
        <w:gridCol w:w="1275"/>
        <w:gridCol w:w="1275"/>
        <w:gridCol w:w="1275"/>
        <w:gridCol w:w="1275"/>
        <w:gridCol w:w="1275"/>
      </w:tblGrid>
      <w:tr w:rsidTr="00941D1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187FBC" w:rsidP="00941D1D">
            <w:pPr>
              <w:pStyle w:val="ESBodyText0"/>
              <w:rPr>
                <w:b/>
                <w:bCs/>
              </w:rPr>
            </w:pPr>
          </w:p>
          <w:p w:rsidR="00EA259E" w:rsidP="00941D1D">
            <w:pPr>
              <w:pStyle w:val="ESBodyText0"/>
            </w:pPr>
          </w:p>
        </w:tc>
        <w:tc>
          <w:tcPr>
            <w:tcW w:w="1275" w:type="dxa"/>
            <w:vAlign w:val="bottom"/>
          </w:tcPr>
          <w:p w:rsidR="00187FBC" w:rsidP="00941D1D">
            <w:pPr>
              <w:pStyle w:val="ESBodyText0"/>
              <w:jc w:val="center"/>
            </w:pPr>
          </w:p>
        </w:tc>
        <w:tc>
          <w:tcPr>
            <w:tcW w:w="1275" w:type="dxa"/>
            <w:vAlign w:val="bottom"/>
          </w:tcPr>
          <w:p w:rsidR="00187FBC" w:rsidP="00941D1D">
            <w:pPr>
              <w:pStyle w:val="ESBodyText0"/>
              <w:jc w:val="center"/>
            </w:pPr>
          </w:p>
        </w:tc>
        <w:tc>
          <w:tcPr>
            <w:tcW w:w="1275" w:type="dxa"/>
            <w:vAlign w:val="bottom"/>
          </w:tcPr>
          <w:p w:rsidR="00187FBC" w:rsidP="00941D1D">
            <w:pPr>
              <w:pStyle w:val="ESBodyText0"/>
              <w:jc w:val="center"/>
            </w:pPr>
          </w:p>
        </w:tc>
        <w:tc>
          <w:tcPr>
            <w:tcW w:w="1275" w:type="dxa"/>
            <w:vAlign w:val="bottom"/>
          </w:tcPr>
          <w:p w:rsidR="00187FBC" w:rsidP="00941D1D">
            <w:pPr>
              <w:pStyle w:val="ESBodyText0"/>
              <w:jc w:val="center"/>
            </w:pPr>
          </w:p>
        </w:tc>
        <w:tc>
          <w:tcPr>
            <w:tcW w:w="1275" w:type="dxa"/>
            <w:vAlign w:val="bottom"/>
          </w:tcPr>
          <w:p w:rsidR="00187FBC" w:rsidP="00941D1D">
            <w:pPr>
              <w:pStyle w:val="ESBodyText0"/>
              <w:jc w:val="center"/>
            </w:pPr>
          </w:p>
        </w:tc>
        <w:tc>
          <w:tcPr>
            <w:tcW w:w="1275" w:type="dxa"/>
            <w:vAlign w:val="bottom"/>
          </w:tcPr>
          <w:p w:rsidR="00187FBC" w:rsidP="00941D1D">
            <w:pPr>
              <w:pStyle w:val="ESBodyText0"/>
              <w:jc w:val="center"/>
            </w:pPr>
          </w:p>
        </w:tc>
      </w:tr>
      <w:tr w:rsidTr="00941D1D">
        <w:tblPrEx>
          <w:tblW w:w="0" w:type="auto"/>
          <w:tblLook w:val="04A0"/>
        </w:tblPrEx>
        <w:tc>
          <w:tcPr>
            <w:tcW w:w="2835" w:type="dxa"/>
            <w:vAlign w:val="bottom"/>
          </w:tcPr>
          <w:p w:rsidR="00187FBC" w:rsidP="00941D1D">
            <w:pPr>
              <w:pStyle w:val="ESBodyText0"/>
            </w:pPr>
          </w:p>
        </w:tc>
        <w:tc>
          <w:tcPr>
            <w:tcW w:w="1275" w:type="dxa"/>
            <w:vAlign w:val="bottom"/>
          </w:tcPr>
          <w:p w:rsidR="00187FBC" w:rsidP="00941D1D">
            <w:pPr>
              <w:pStyle w:val="ESBodyText0"/>
              <w:jc w:val="center"/>
            </w:pPr>
            <w:r>
              <w:t>Year 7</w:t>
            </w:r>
          </w:p>
        </w:tc>
        <w:tc>
          <w:tcPr>
            <w:tcW w:w="1275" w:type="dxa"/>
            <w:vAlign w:val="bottom"/>
          </w:tcPr>
          <w:p w:rsidR="00187FBC" w:rsidP="00941D1D">
            <w:pPr>
              <w:pStyle w:val="ESBodyText0"/>
              <w:jc w:val="center"/>
            </w:pPr>
            <w:r>
              <w:t>Year 8</w:t>
            </w:r>
          </w:p>
        </w:tc>
        <w:tc>
          <w:tcPr>
            <w:tcW w:w="1275" w:type="dxa"/>
            <w:vAlign w:val="bottom"/>
          </w:tcPr>
          <w:p w:rsidR="00187FBC" w:rsidP="00941D1D">
            <w:pPr>
              <w:pStyle w:val="ESBodyText0"/>
              <w:jc w:val="center"/>
            </w:pPr>
            <w:r>
              <w:t>Year 9</w:t>
            </w:r>
          </w:p>
        </w:tc>
        <w:tc>
          <w:tcPr>
            <w:tcW w:w="1275" w:type="dxa"/>
            <w:vAlign w:val="bottom"/>
          </w:tcPr>
          <w:p w:rsidR="00187FBC" w:rsidP="00941D1D">
            <w:pPr>
              <w:pStyle w:val="ESBodyText0"/>
              <w:jc w:val="center"/>
            </w:pPr>
            <w:r>
              <w:t>Year 10</w:t>
            </w:r>
          </w:p>
        </w:tc>
        <w:tc>
          <w:tcPr>
            <w:tcW w:w="1275" w:type="dxa"/>
            <w:vAlign w:val="bottom"/>
          </w:tcPr>
          <w:p w:rsidR="00187FBC" w:rsidP="00941D1D">
            <w:pPr>
              <w:pStyle w:val="ESBodyText0"/>
              <w:jc w:val="center"/>
            </w:pPr>
            <w:r>
              <w:t>Year 11</w:t>
            </w:r>
          </w:p>
        </w:tc>
        <w:tc>
          <w:tcPr>
            <w:tcW w:w="1275" w:type="dxa"/>
            <w:vAlign w:val="bottom"/>
          </w:tcPr>
          <w:p w:rsidR="00187FBC" w:rsidP="00941D1D">
            <w:pPr>
              <w:pStyle w:val="ESBodyText0"/>
              <w:jc w:val="center"/>
            </w:pPr>
            <w:r>
              <w:t>Year 12</w:t>
            </w:r>
          </w:p>
        </w:tc>
      </w:tr>
      <w:tr w:rsidTr="00941D1D">
        <w:tblPrEx>
          <w:tblW w:w="0" w:type="auto"/>
          <w:tblLook w:val="04A0"/>
        </w:tblPrEx>
        <w:tc>
          <w:tcPr>
            <w:tcW w:w="2835" w:type="dxa"/>
          </w:tcPr>
          <w:p w:rsidR="00187FBC" w:rsidP="00941D1D">
            <w:pPr>
              <w:pStyle w:val="ESBodyText0"/>
            </w:pPr>
            <w:r>
              <w:t>Attendance Rate by year level (202</w:t>
            </w:r>
            <w:r w:rsidR="00594C01">
              <w:t>3</w:t>
            </w:r>
            <w:r>
              <w:t>):</w:t>
            </w:r>
          </w:p>
        </w:tc>
        <w:tc>
          <w:tcPr>
            <w:tcW w:w="1275" w:type="dxa"/>
            <w:shd w:val="clear" w:color="auto" w:fill="FFC000"/>
            <w:tcMar>
              <w:top w:w="57" w:type="dxa"/>
            </w:tcMar>
            <w:vAlign w:val="center"/>
          </w:tcPr>
          <w:p w:rsidR="00187FBC" w:rsidP="00941D1D">
            <w:pPr>
              <w:pStyle w:val="ESBodyText0"/>
              <w:jc w:val="center"/>
            </w:pPr>
            <w:r>
              <w:t>82%</w:t>
            </w:r>
          </w:p>
        </w:tc>
        <w:tc>
          <w:tcPr>
            <w:tcW w:w="1275" w:type="dxa"/>
            <w:shd w:val="clear" w:color="auto" w:fill="FFC000"/>
            <w:tcMar>
              <w:top w:w="57" w:type="dxa"/>
            </w:tcMar>
            <w:vAlign w:val="center"/>
          </w:tcPr>
          <w:p w:rsidR="00187FBC" w:rsidP="00941D1D">
            <w:pPr>
              <w:pStyle w:val="ESBodyText0"/>
              <w:jc w:val="center"/>
            </w:pPr>
            <w:r>
              <w:t>79%</w:t>
            </w:r>
          </w:p>
        </w:tc>
        <w:tc>
          <w:tcPr>
            <w:tcW w:w="1275" w:type="dxa"/>
            <w:shd w:val="clear" w:color="auto" w:fill="FFC000"/>
            <w:tcMar>
              <w:top w:w="57" w:type="dxa"/>
            </w:tcMar>
            <w:vAlign w:val="center"/>
          </w:tcPr>
          <w:p w:rsidR="00187FBC" w:rsidP="00941D1D">
            <w:pPr>
              <w:pStyle w:val="ESBodyText0"/>
              <w:jc w:val="center"/>
            </w:pPr>
            <w:r>
              <w:t>81%</w:t>
            </w:r>
          </w:p>
        </w:tc>
        <w:tc>
          <w:tcPr>
            <w:tcW w:w="1275" w:type="dxa"/>
            <w:shd w:val="clear" w:color="auto" w:fill="FFC000"/>
            <w:tcMar>
              <w:top w:w="57" w:type="dxa"/>
            </w:tcMar>
            <w:vAlign w:val="center"/>
          </w:tcPr>
          <w:p w:rsidR="00187FBC" w:rsidP="00941D1D">
            <w:pPr>
              <w:pStyle w:val="ESBodyText0"/>
              <w:jc w:val="center"/>
            </w:pPr>
            <w:r>
              <w:t>83%</w:t>
            </w:r>
          </w:p>
        </w:tc>
        <w:tc>
          <w:tcPr>
            <w:tcW w:w="1275" w:type="dxa"/>
            <w:shd w:val="clear" w:color="auto" w:fill="FFC000"/>
            <w:tcMar>
              <w:top w:w="57" w:type="dxa"/>
            </w:tcMar>
            <w:vAlign w:val="center"/>
          </w:tcPr>
          <w:p w:rsidR="00187FBC" w:rsidP="00941D1D">
            <w:pPr>
              <w:pStyle w:val="ESBodyText0"/>
              <w:jc w:val="center"/>
            </w:pPr>
            <w:r>
              <w:t>86%</w:t>
            </w:r>
          </w:p>
        </w:tc>
        <w:tc>
          <w:tcPr>
            <w:tcW w:w="1275" w:type="dxa"/>
            <w:shd w:val="clear" w:color="auto" w:fill="FFC000"/>
            <w:tcMar>
              <w:top w:w="57" w:type="dxa"/>
            </w:tcMar>
            <w:vAlign w:val="center"/>
          </w:tcPr>
          <w:p w:rsidR="00187FBC" w:rsidP="00941D1D">
            <w:pPr>
              <w:pStyle w:val="ESBodyText0"/>
              <w:jc w:val="center"/>
            </w:pPr>
            <w:r>
              <w:t>91%</w:t>
            </w:r>
          </w:p>
        </w:tc>
      </w:tr>
    </w:tbl>
    <w:p w:rsidR="00187FBC" w:rsidP="00187FBC">
      <w:pPr>
        <w:pStyle w:val="ESBodyText0"/>
      </w:pPr>
    </w:p>
    <w:p w:rsidR="000F114C" w:rsidP="009E233C">
      <w:pPr>
        <w:pStyle w:val="ESBodyText0"/>
      </w:pPr>
    </w:p>
    <w:p w:rsidR="000F114C" w:rsidP="009E233C">
      <w:pPr>
        <w:pStyle w:val="ESBodyText0"/>
      </w:pPr>
    </w:p>
    <w:p w:rsidR="00907E95" w:rsidP="00907E95">
      <w:pPr>
        <w:pStyle w:val="ESHeading30"/>
      </w:pPr>
      <w:r>
        <w:t>Student Retention</w:t>
      </w:r>
    </w:p>
    <w:p w:rsidR="00907E95" w:rsidP="00907E95">
      <w:pPr>
        <w:pStyle w:val="ESBodyText0"/>
      </w:pPr>
      <w:r>
        <w:t>Percentage of Year 7 students who remain at the school through to Year 10.</w:t>
      </w:r>
    </w:p>
    <w:tbl>
      <w:tblPr>
        <w:tblStyle w:val="TableGrid"/>
        <w:tblpPr w:leftFromText="180" w:rightFromText="180" w:vertAnchor="text" w:horzAnchor="margin" w:tblpY="2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1134"/>
        <w:gridCol w:w="1063"/>
      </w:tblGrid>
      <w:tr w:rsidTr="00717A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19" w:type="dxa"/>
            <w:vAlign w:val="bottom"/>
          </w:tcPr>
          <w:p w:rsidR="00717AB7" w:rsidP="00717AB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Retention</w:t>
            </w:r>
          </w:p>
          <w:p w:rsidR="00717AB7" w:rsidRPr="00B20B33" w:rsidP="00717AB7">
            <w:pPr>
              <w:pStyle w:val="ESBodyText0"/>
              <w:spacing w:line="240" w:lineRule="auto"/>
              <w:rPr>
                <w:b/>
                <w:bCs/>
              </w:rPr>
            </w:pPr>
            <w:r>
              <w:rPr>
                <w:rFonts w:eastAsia="Times New Roman"/>
                <w:b/>
                <w:bCs/>
                <w:color w:val="000000"/>
                <w:lang w:val="en-AU" w:eastAsia="en-AU"/>
              </w:rPr>
              <w:t>Year 7 to Year 10</w:t>
            </w:r>
          </w:p>
        </w:tc>
        <w:tc>
          <w:tcPr>
            <w:tcW w:w="1134" w:type="dxa"/>
            <w:vAlign w:val="bottom"/>
          </w:tcPr>
          <w:p w:rsidR="00717AB7" w:rsidP="00717AB7">
            <w:pPr>
              <w:pStyle w:val="ESBodyText0"/>
              <w:spacing w:line="240" w:lineRule="auto"/>
              <w:jc w:val="center"/>
            </w:pPr>
            <w:r>
              <w:t>Latest year (202</w:t>
            </w:r>
            <w:r w:rsidR="00594C01">
              <w:t>3</w:t>
            </w:r>
            <w:r>
              <w:t>)</w:t>
            </w:r>
          </w:p>
        </w:tc>
        <w:tc>
          <w:tcPr>
            <w:tcW w:w="1063" w:type="dxa"/>
            <w:vAlign w:val="bottom"/>
          </w:tcPr>
          <w:p w:rsidR="00717AB7" w:rsidP="00717AB7">
            <w:pPr>
              <w:pStyle w:val="ESBodyText0"/>
              <w:spacing w:line="240" w:lineRule="auto"/>
              <w:jc w:val="center"/>
            </w:pPr>
            <w:r>
              <w:t>4-year average</w:t>
            </w:r>
          </w:p>
        </w:tc>
      </w:tr>
      <w:tr w:rsidTr="00717AB7">
        <w:tblPrEx>
          <w:tblW w:w="0" w:type="auto"/>
          <w:tblLook w:val="04A0"/>
        </w:tblPrEx>
        <w:trPr>
          <w:trHeight w:hRule="exact" w:val="567"/>
        </w:trPr>
        <w:tc>
          <w:tcPr>
            <w:tcW w:w="3119" w:type="dxa"/>
            <w:tcMar>
              <w:top w:w="57" w:type="dxa"/>
            </w:tcMar>
            <w:vAlign w:val="center"/>
          </w:tcPr>
          <w:p w:rsidR="00717AB7" w:rsidP="00717AB7">
            <w:pPr>
              <w:pStyle w:val="ESBodyText0"/>
              <w:spacing w:line="240" w:lineRule="auto"/>
            </w:pPr>
            <w:r>
              <w:t>School percent of students retained:</w:t>
            </w:r>
          </w:p>
        </w:tc>
        <w:tc>
          <w:tcPr>
            <w:tcW w:w="1134" w:type="dxa"/>
            <w:tcBorders>
              <w:bottom w:val="single" w:sz="4" w:space="0" w:color="FFFFFF" w:themeColor="background1"/>
            </w:tcBorders>
            <w:shd w:val="clear" w:color="auto" w:fill="FFC000"/>
            <w:tcMar>
              <w:top w:w="57" w:type="dxa"/>
            </w:tcMar>
            <w:vAlign w:val="center"/>
          </w:tcPr>
          <w:p w:rsidR="00717AB7" w:rsidP="00717AB7">
            <w:pPr>
              <w:pStyle w:val="ESBodyText0"/>
              <w:spacing w:line="240" w:lineRule="auto"/>
              <w:jc w:val="center"/>
            </w:pPr>
            <w:r>
              <w:t>75.0%</w:t>
            </w:r>
          </w:p>
        </w:tc>
        <w:tc>
          <w:tcPr>
            <w:tcW w:w="1063" w:type="dxa"/>
            <w:tcBorders>
              <w:bottom w:val="single" w:sz="4" w:space="0" w:color="FFFFFF" w:themeColor="background1"/>
            </w:tcBorders>
            <w:shd w:val="clear" w:color="auto" w:fill="FFC000"/>
            <w:tcMar>
              <w:top w:w="57" w:type="dxa"/>
            </w:tcMar>
            <w:vAlign w:val="center"/>
          </w:tcPr>
          <w:p w:rsidR="00717AB7" w:rsidP="00717AB7">
            <w:pPr>
              <w:pStyle w:val="ESBodyText0"/>
              <w:spacing w:line="240" w:lineRule="auto"/>
              <w:jc w:val="center"/>
            </w:pPr>
            <w:r>
              <w:t>63.6%</w:t>
            </w:r>
          </w:p>
        </w:tc>
      </w:tr>
      <w:tr w:rsidTr="00717AB7">
        <w:tblPrEx>
          <w:tblW w:w="0" w:type="auto"/>
          <w:tblLook w:val="04A0"/>
        </w:tblPrEx>
        <w:trPr>
          <w:trHeight w:hRule="exact" w:val="567"/>
        </w:trPr>
        <w:tc>
          <w:tcPr>
            <w:tcW w:w="3119" w:type="dxa"/>
            <w:tcMar>
              <w:top w:w="57" w:type="dxa"/>
            </w:tcMar>
            <w:vAlign w:val="center"/>
          </w:tcPr>
          <w:p w:rsidR="00717AB7" w:rsidP="00717AB7">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717AB7" w:rsidRPr="00B20B33" w:rsidP="00717AB7">
            <w:pPr>
              <w:pStyle w:val="ESBodyText0"/>
              <w:spacing w:line="240" w:lineRule="auto"/>
              <w:jc w:val="center"/>
              <w:rPr>
                <w:color w:val="FFFFFF" w:themeColor="background1"/>
              </w:rPr>
            </w:pPr>
            <w:r>
              <w:rPr>
                <w:color w:val="FFFFFF" w:themeColor="background1"/>
              </w:rPr>
              <w:t>72.3%</w:t>
            </w:r>
          </w:p>
        </w:tc>
        <w:tc>
          <w:tcPr>
            <w:tcW w:w="1063" w:type="dxa"/>
            <w:tcBorders>
              <w:top w:val="single" w:sz="4" w:space="0" w:color="FFFFFF" w:themeColor="background1"/>
              <w:bottom w:val="single" w:sz="4" w:space="0" w:color="FFFFFF" w:themeColor="background1"/>
            </w:tcBorders>
            <w:shd w:val="clear" w:color="auto" w:fill="7030A0"/>
            <w:tcMar>
              <w:top w:w="57" w:type="dxa"/>
            </w:tcMar>
            <w:vAlign w:val="center"/>
          </w:tcPr>
          <w:p w:rsidR="00717AB7" w:rsidRPr="00B20B33" w:rsidP="00717AB7">
            <w:pPr>
              <w:pStyle w:val="ESBodyText0"/>
              <w:spacing w:line="240" w:lineRule="auto"/>
              <w:jc w:val="center"/>
              <w:rPr>
                <w:color w:val="FFFFFF" w:themeColor="background1"/>
              </w:rPr>
            </w:pPr>
            <w:r>
              <w:rPr>
                <w:color w:val="FFFFFF" w:themeColor="background1"/>
              </w:rPr>
              <w:t>72.3%</w:t>
            </w:r>
          </w:p>
        </w:tc>
      </w:tr>
      <w:tr w:rsidTr="00717AB7">
        <w:tblPrEx>
          <w:tblW w:w="0" w:type="auto"/>
          <w:tblLook w:val="04A0"/>
        </w:tblPrEx>
        <w:trPr>
          <w:trHeight w:hRule="exact" w:val="567"/>
        </w:trPr>
        <w:tc>
          <w:tcPr>
            <w:tcW w:w="3119" w:type="dxa"/>
            <w:tcMar>
              <w:top w:w="57" w:type="dxa"/>
            </w:tcMar>
            <w:vAlign w:val="center"/>
          </w:tcPr>
          <w:p w:rsidR="00717AB7" w:rsidP="00717AB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717AB7" w:rsidP="00717AB7">
            <w:pPr>
              <w:pStyle w:val="ESBodyText0"/>
              <w:spacing w:line="240" w:lineRule="auto"/>
              <w:jc w:val="center"/>
            </w:pPr>
            <w:r>
              <w:t>72.6%</w:t>
            </w:r>
          </w:p>
        </w:tc>
        <w:tc>
          <w:tcPr>
            <w:tcW w:w="1063" w:type="dxa"/>
            <w:tcBorders>
              <w:top w:val="single" w:sz="4" w:space="0" w:color="FFFFFF" w:themeColor="background1"/>
            </w:tcBorders>
            <w:shd w:val="clear" w:color="auto" w:fill="A6A6A6" w:themeFill="background1" w:themeFillShade="A6"/>
            <w:tcMar>
              <w:top w:w="57" w:type="dxa"/>
            </w:tcMar>
            <w:vAlign w:val="center"/>
          </w:tcPr>
          <w:p w:rsidR="00717AB7" w:rsidP="00717AB7">
            <w:pPr>
              <w:pStyle w:val="ESBodyText0"/>
              <w:spacing w:line="240" w:lineRule="auto"/>
              <w:jc w:val="center"/>
            </w:pPr>
            <w:r>
              <w:t>73.8%</w:t>
            </w:r>
          </w:p>
        </w:tc>
      </w:tr>
    </w:tbl>
    <w:p w:rsidR="00907E95" w:rsidP="00907E95">
      <w:pPr>
        <w:pStyle w:val="ESBodyText0"/>
      </w:pPr>
      <w:r>
        <w:rPr>
          <w:noProof/>
        </w:rPr>
        <w:drawing>
          <wp:anchor distT="0" distB="0" distL="114300" distR="114300" simplePos="0" relativeHeight="251678720" behindDoc="0" locked="0" layoutInCell="1" allowOverlap="1">
            <wp:simplePos x="0" y="0"/>
            <wp:positionH relativeFrom="column">
              <wp:posOffset>3536950</wp:posOffset>
            </wp:positionH>
            <wp:positionV relativeFrom="paragraph">
              <wp:posOffset>163195</wp:posOffset>
            </wp:positionV>
            <wp:extent cx="3562350" cy="1885950"/>
            <wp:effectExtent l="0" t="0" r="0" b="0"/>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0F114C" w:rsidP="009E233C">
      <w:pPr>
        <w:pStyle w:val="ESBodyText0"/>
      </w:pPr>
    </w:p>
    <w:p w:rsidR="008D72EF" w:rsidP="009E233C">
      <w:pPr>
        <w:pStyle w:val="ESBodyText0"/>
      </w:pPr>
    </w:p>
    <w:p w:rsidR="008D72EF" w:rsidP="009E233C">
      <w:pPr>
        <w:pStyle w:val="ESBodyText0"/>
      </w:pPr>
    </w:p>
    <w:p w:rsidR="000F114C" w:rsidP="009E233C">
      <w:pPr>
        <w:pStyle w:val="ESBodyText0"/>
      </w:pPr>
    </w:p>
    <w:p w:rsidR="000F114C" w:rsidP="009E233C">
      <w:pPr>
        <w:pStyle w:val="ESBodyText0"/>
      </w:pPr>
    </w:p>
    <w:p w:rsidR="000F114C" w:rsidP="009E233C">
      <w:pPr>
        <w:pStyle w:val="ESBodyText0"/>
      </w:pPr>
    </w:p>
    <w:p w:rsidR="000F114C" w:rsidP="009E233C">
      <w:pPr>
        <w:pStyle w:val="ESBodyText0"/>
      </w:pPr>
    </w:p>
    <w:p w:rsidR="00F5681D" w:rsidP="009E233C">
      <w:pPr>
        <w:pStyle w:val="ESBodyText0"/>
      </w:pPr>
    </w:p>
    <w:p w:rsidR="00F5681D" w:rsidP="009E233C">
      <w:pPr>
        <w:pStyle w:val="ESBodyText0"/>
      </w:pPr>
    </w:p>
    <w:p w:rsidR="00F5681D" w:rsidP="009E233C">
      <w:pPr>
        <w:pStyle w:val="ESBodyText0"/>
      </w:pPr>
    </w:p>
    <w:p w:rsidR="00F5681D" w:rsidP="009E233C">
      <w:pPr>
        <w:pStyle w:val="ESBodyText0"/>
      </w:pPr>
    </w:p>
    <w:p w:rsidR="00F5681D" w:rsidP="009E233C">
      <w:pPr>
        <w:pStyle w:val="ESBodyText0"/>
      </w:pPr>
    </w:p>
    <w:p w:rsidR="00F5681D" w:rsidP="009E233C">
      <w:pPr>
        <w:pStyle w:val="ESBodyText0"/>
      </w:pPr>
    </w:p>
    <w:p w:rsidR="00F5681D" w:rsidP="00F5681D">
      <w:pPr>
        <w:pStyle w:val="Style10"/>
      </w:pPr>
      <w:r>
        <w:t>ENGAGEMENT (continued)</w:t>
      </w:r>
    </w:p>
    <w:p w:rsidR="00F5681D" w:rsidRPr="007F1B5B" w:rsidP="00F5681D">
      <w:pPr>
        <w:pStyle w:val="ESBodyText0"/>
        <w:spacing w:before="240" w:line="240" w:lineRule="auto"/>
        <w:ind w:left="567" w:hanging="567"/>
        <w:rPr>
          <w:b/>
          <w:i/>
        </w:rPr>
      </w:pPr>
      <w:r>
        <w:rPr>
          <w:b/>
          <w:i/>
        </w:rPr>
        <w:t>Key:</w:t>
      </w:r>
      <w:r>
        <w:rPr>
          <w:b/>
          <w:i/>
        </w:rPr>
        <w:tab/>
        <w:t xml:space="preserve">‘Similar Schools’ are a group of Victorian government schools that are like this school, </w:t>
      </w:r>
      <w:r>
        <w:rPr>
          <w:b/>
          <w:i/>
        </w:rPr>
        <w:t>taking into account</w:t>
      </w:r>
      <w:r>
        <w:rPr>
          <w:b/>
          <w:i/>
        </w:rPr>
        <w:t xml:space="preserve"> the school’s socioeconomic background of students, the number of non-English speaking students and the size and location of the school.</w:t>
      </w:r>
    </w:p>
    <w:p w:rsidR="00F5681D" w:rsidP="00F5681D">
      <w:pPr>
        <w:pStyle w:val="ESHeading30"/>
      </w:pPr>
      <w:r>
        <w:t xml:space="preserve">Students exiting to further studies or full-time </w:t>
      </w:r>
      <w:r>
        <w:t>employment</w:t>
      </w:r>
    </w:p>
    <w:p w:rsidR="00F5681D" w:rsidP="00F5681D">
      <w:pPr>
        <w:pStyle w:val="ESBodyText0"/>
      </w:pPr>
      <w:r>
        <w:t>Percentage of students from Years 10 to 12 going on to further studies or full-time employment.</w:t>
      </w:r>
    </w:p>
    <w:p w:rsidR="00F5681D" w:rsidP="00F5681D">
      <w:pPr>
        <w:pStyle w:val="ESBodyText0"/>
        <w:spacing w:after="0"/>
      </w:pPr>
      <w:r>
        <w:t>Note:</w:t>
      </w:r>
      <w:r>
        <w:tab/>
        <w:t>This measure refers to data from the year when students exited the school.</w:t>
      </w:r>
    </w:p>
    <w:p w:rsidR="00F5681D" w:rsidP="00F5681D">
      <w:pPr>
        <w:pStyle w:val="ESBodyText0"/>
        <w:ind w:firstLine="720"/>
      </w:pPr>
      <w:r>
        <w:t>Data excludes destinations recorded as 'Unknown'.</w:t>
      </w:r>
    </w:p>
    <w:p w:rsidR="00F5681D" w:rsidP="00F5681D">
      <w:pPr>
        <w:pStyle w:val="ESBodyText0"/>
        <w:ind w:firstLine="720"/>
      </w:pPr>
      <w:r>
        <w:rPr>
          <w:noProof/>
        </w:rPr>
        <w:drawing>
          <wp:anchor distT="0" distB="0" distL="114300" distR="114300" simplePos="0" relativeHeight="251679744" behindDoc="0" locked="0" layoutInCell="1" allowOverlap="1">
            <wp:simplePos x="0" y="0"/>
            <wp:positionH relativeFrom="column">
              <wp:posOffset>3380105</wp:posOffset>
            </wp:positionH>
            <wp:positionV relativeFrom="paragraph">
              <wp:posOffset>156845</wp:posOffset>
            </wp:positionV>
            <wp:extent cx="3524250" cy="2000250"/>
            <wp:effectExtent l="0" t="0" r="0" b="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134"/>
        <w:gridCol w:w="1060"/>
      </w:tblGrid>
      <w:tr w:rsidTr="00000F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vAlign w:val="bottom"/>
          </w:tcPr>
          <w:p w:rsidR="00F5681D" w:rsidP="00000FB7">
            <w:pPr>
              <w:spacing w:after="0" w:line="240" w:lineRule="auto"/>
              <w:rPr>
                <w:rFonts w:eastAsia="Times New Roman"/>
                <w:b/>
                <w:bCs/>
                <w:color w:val="000000"/>
                <w:lang w:val="en-AU" w:eastAsia="en-AU"/>
              </w:rPr>
            </w:pPr>
            <w:r w:rsidRPr="006F0563">
              <w:rPr>
                <w:rFonts w:eastAsia="Times New Roman"/>
                <w:b/>
                <w:bCs/>
                <w:color w:val="000000"/>
                <w:lang w:val="en-AU" w:eastAsia="en-AU"/>
              </w:rPr>
              <w:t xml:space="preserve">Student </w:t>
            </w:r>
            <w:r>
              <w:rPr>
                <w:rFonts w:eastAsia="Times New Roman"/>
                <w:b/>
                <w:bCs/>
                <w:color w:val="000000"/>
                <w:lang w:val="en-AU" w:eastAsia="en-AU"/>
              </w:rPr>
              <w:t>Exits</w:t>
            </w:r>
          </w:p>
          <w:p w:rsidR="00F5681D" w:rsidRPr="00B20B33" w:rsidP="00000FB7">
            <w:pPr>
              <w:pStyle w:val="ESBodyText0"/>
              <w:spacing w:line="240" w:lineRule="auto"/>
              <w:rPr>
                <w:b/>
                <w:bCs/>
              </w:rPr>
            </w:pPr>
            <w:r>
              <w:rPr>
                <w:rFonts w:eastAsia="Times New Roman"/>
                <w:b/>
                <w:bCs/>
                <w:color w:val="000000"/>
                <w:lang w:val="en-AU" w:eastAsia="en-AU"/>
              </w:rPr>
              <w:t>Years 10 to 12</w:t>
            </w:r>
          </w:p>
        </w:tc>
        <w:tc>
          <w:tcPr>
            <w:tcW w:w="1134" w:type="dxa"/>
            <w:vAlign w:val="bottom"/>
          </w:tcPr>
          <w:p w:rsidR="00F5681D" w:rsidP="00000FB7">
            <w:pPr>
              <w:pStyle w:val="ESBodyText0"/>
              <w:spacing w:line="240" w:lineRule="auto"/>
              <w:jc w:val="center"/>
            </w:pPr>
            <w:r>
              <w:t>Latest year (202</w:t>
            </w:r>
            <w:r w:rsidR="00594C01">
              <w:t>2</w:t>
            </w:r>
            <w:r>
              <w:t>)</w:t>
            </w:r>
          </w:p>
        </w:tc>
        <w:tc>
          <w:tcPr>
            <w:tcW w:w="1060" w:type="dxa"/>
            <w:vAlign w:val="bottom"/>
          </w:tcPr>
          <w:p w:rsidR="00F5681D" w:rsidP="00000FB7">
            <w:pPr>
              <w:pStyle w:val="ESBodyText0"/>
              <w:spacing w:line="240" w:lineRule="auto"/>
              <w:jc w:val="center"/>
            </w:pPr>
            <w:r>
              <w:t>4-year average</w:t>
            </w:r>
          </w:p>
        </w:tc>
      </w:tr>
      <w:tr w:rsidTr="00A56951">
        <w:tblPrEx>
          <w:tblW w:w="0" w:type="auto"/>
          <w:tblLayout w:type="fixed"/>
          <w:tblLook w:val="04A0"/>
        </w:tblPrEx>
        <w:trPr>
          <w:trHeight w:hRule="exact" w:val="580"/>
        </w:trPr>
        <w:tc>
          <w:tcPr>
            <w:tcW w:w="3119" w:type="dxa"/>
            <w:tcMar>
              <w:top w:w="57" w:type="dxa"/>
            </w:tcMar>
            <w:vAlign w:val="center"/>
          </w:tcPr>
          <w:p w:rsidR="00F5681D" w:rsidP="00000FB7">
            <w:pPr>
              <w:pStyle w:val="ESBodyText0"/>
              <w:spacing w:line="240" w:lineRule="auto"/>
            </w:pPr>
            <w:r>
              <w:t>School percent of students to further studies or full-time employment:</w:t>
            </w:r>
          </w:p>
        </w:tc>
        <w:tc>
          <w:tcPr>
            <w:tcW w:w="1134" w:type="dxa"/>
            <w:tcBorders>
              <w:bottom w:val="single" w:sz="4" w:space="0" w:color="FFFFFF" w:themeColor="background1"/>
            </w:tcBorders>
            <w:shd w:val="clear" w:color="auto" w:fill="FFC000"/>
            <w:tcMar>
              <w:top w:w="57" w:type="dxa"/>
            </w:tcMar>
            <w:vAlign w:val="center"/>
          </w:tcPr>
          <w:p w:rsidR="00F5681D" w:rsidP="00000FB7">
            <w:pPr>
              <w:pStyle w:val="ESBodyText0"/>
              <w:spacing w:line="240" w:lineRule="auto"/>
              <w:jc w:val="center"/>
            </w:pPr>
            <w:r>
              <w:t>78.1%</w:t>
            </w:r>
          </w:p>
        </w:tc>
        <w:tc>
          <w:tcPr>
            <w:tcW w:w="1060" w:type="dxa"/>
            <w:tcBorders>
              <w:bottom w:val="single" w:sz="4" w:space="0" w:color="FFFFFF" w:themeColor="background1"/>
            </w:tcBorders>
            <w:shd w:val="clear" w:color="auto" w:fill="FFC000"/>
            <w:tcMar>
              <w:top w:w="57" w:type="dxa"/>
            </w:tcMar>
            <w:vAlign w:val="center"/>
          </w:tcPr>
          <w:p w:rsidR="00F5681D" w:rsidP="00000FB7">
            <w:pPr>
              <w:pStyle w:val="ESBodyText0"/>
              <w:spacing w:line="240" w:lineRule="auto"/>
              <w:jc w:val="center"/>
            </w:pPr>
            <w:r>
              <w:t>78.6%</w:t>
            </w:r>
          </w:p>
        </w:tc>
      </w:tr>
      <w:tr w:rsidTr="00000FB7">
        <w:tblPrEx>
          <w:tblW w:w="0" w:type="auto"/>
          <w:tblLayout w:type="fixed"/>
          <w:tblLook w:val="04A0"/>
        </w:tblPrEx>
        <w:trPr>
          <w:trHeight w:hRule="exact" w:val="567"/>
        </w:trPr>
        <w:tc>
          <w:tcPr>
            <w:tcW w:w="3119" w:type="dxa"/>
            <w:tcMar>
              <w:top w:w="57" w:type="dxa"/>
            </w:tcMar>
            <w:vAlign w:val="center"/>
          </w:tcPr>
          <w:p w:rsidR="00F5681D" w:rsidP="00000FB7">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F5681D" w:rsidRPr="00B20B33" w:rsidP="00000FB7">
            <w:pPr>
              <w:pStyle w:val="ESBodyText0"/>
              <w:spacing w:line="240" w:lineRule="auto"/>
              <w:jc w:val="center"/>
              <w:rPr>
                <w:color w:val="FFFFFF" w:themeColor="background1"/>
              </w:rPr>
            </w:pPr>
            <w:r>
              <w:rPr>
                <w:color w:val="FFFFFF" w:themeColor="background1"/>
              </w:rPr>
              <w:t>86.7%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F5681D" w:rsidRPr="00B20B33" w:rsidP="00000FB7">
            <w:pPr>
              <w:pStyle w:val="ESBodyText0"/>
              <w:spacing w:line="240" w:lineRule="auto"/>
              <w:jc w:val="center"/>
              <w:rPr>
                <w:color w:val="FFFFFF" w:themeColor="background1"/>
              </w:rPr>
            </w:pPr>
            <w:r>
              <w:rPr>
                <w:color w:val="FFFFFF" w:themeColor="background1"/>
              </w:rPr>
              <w:t>85.7%</w:t>
            </w:r>
          </w:p>
        </w:tc>
      </w:tr>
      <w:tr w:rsidTr="00000FB7">
        <w:tblPrEx>
          <w:tblW w:w="0" w:type="auto"/>
          <w:tblLayout w:type="fixed"/>
          <w:tblLook w:val="04A0"/>
        </w:tblPrEx>
        <w:trPr>
          <w:trHeight w:hRule="exact" w:val="567"/>
        </w:trPr>
        <w:tc>
          <w:tcPr>
            <w:tcW w:w="3119" w:type="dxa"/>
            <w:tcMar>
              <w:top w:w="57" w:type="dxa"/>
            </w:tcMar>
            <w:vAlign w:val="center"/>
          </w:tcPr>
          <w:p w:rsidR="00F5681D" w:rsidP="00000FB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F5681D" w:rsidP="00000FB7">
            <w:pPr>
              <w:pStyle w:val="ESBodyText0"/>
              <w:spacing w:line="240" w:lineRule="auto"/>
              <w:jc w:val="center"/>
            </w:pPr>
            <w:r>
              <w:t>89.5%</w:t>
            </w:r>
          </w:p>
        </w:tc>
        <w:tc>
          <w:tcPr>
            <w:tcW w:w="1060" w:type="dxa"/>
            <w:tcBorders>
              <w:top w:val="single" w:sz="4" w:space="0" w:color="FFFFFF" w:themeColor="background1"/>
            </w:tcBorders>
            <w:shd w:val="clear" w:color="auto" w:fill="A6A6A6" w:themeFill="background1" w:themeFillShade="A6"/>
            <w:tcMar>
              <w:top w:w="57" w:type="dxa"/>
            </w:tcMar>
            <w:vAlign w:val="center"/>
          </w:tcPr>
          <w:p w:rsidR="00F5681D" w:rsidP="00000FB7">
            <w:pPr>
              <w:pStyle w:val="ESBodyText0"/>
              <w:spacing w:line="240" w:lineRule="auto"/>
              <w:jc w:val="center"/>
            </w:pPr>
            <w:r>
              <w:t>89.5%</w:t>
            </w:r>
          </w:p>
        </w:tc>
      </w:tr>
    </w:tbl>
    <w:p w:rsidR="000F114C"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P="009E233C">
      <w:pPr>
        <w:pStyle w:val="ESBodyText0"/>
      </w:pPr>
    </w:p>
    <w:p w:rsidR="00681E32" w:rsidRPr="007F1B5B" w:rsidP="00681E32">
      <w:pPr>
        <w:pStyle w:val="Style10"/>
      </w:pPr>
      <w:r w:rsidRPr="0017363D">
        <w:rPr>
          <w:b/>
          <w:bCs w:val="0"/>
          <w:sz w:val="44"/>
          <w:szCs w:val="52"/>
        </w:rPr>
        <w:t>Financial Performance and Position</w:t>
      </w:r>
    </w:p>
    <w:p w:rsidR="00681E32" w:rsidP="00681E32">
      <w:pPr>
        <w:pStyle w:val="ESBodyText0"/>
        <w:rPr>
          <w:color w:val="C00000"/>
          <w:sz w:val="24"/>
          <w:szCs w:val="24"/>
        </w:rPr>
      </w:pPr>
      <w:r w:rsidRPr="0099239B">
        <w:rPr>
          <w:color w:val="C00000"/>
          <w:sz w:val="24"/>
          <w:szCs w:val="24"/>
        </w:rPr>
        <w:t xml:space="preserve">Financial Performance - Operating Statement Summary for the year ending 31 December, </w:t>
      </w:r>
      <w:r>
        <w:rPr>
          <w:color w:val="C00000"/>
          <w:sz w:val="24"/>
          <w:szCs w:val="24"/>
        </w:rPr>
        <w:t>2023</w:t>
      </w:r>
    </w:p>
    <w:p w:rsidR="00681E32" w:rsidP="00681E32">
      <w:pPr>
        <w:pStyle w:val="ESBodyText0"/>
        <w:rPr>
          <w:color w:val="C00000"/>
          <w:sz w:val="24"/>
          <w:szCs w:val="24"/>
        </w:rPr>
      </w:pP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000FB7">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681E32" w:rsidRPr="00243D95" w:rsidP="00000FB7">
            <w:pPr>
              <w:spacing w:before="40" w:after="40" w:line="240" w:lineRule="auto"/>
              <w:rPr>
                <w:rFonts w:cs="Times New Roman"/>
                <w:bCs w:val="0"/>
                <w:szCs w:val="22"/>
              </w:rPr>
            </w:pPr>
            <w:bookmarkStart w:id="1"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681E32" w:rsidRPr="00243D95" w:rsidP="00000FB7">
            <w:pPr>
              <w:spacing w:before="40" w:after="40" w:line="240" w:lineRule="auto"/>
              <w:jc w:val="right"/>
              <w:rPr>
                <w:rFonts w:cs="Times New Roman"/>
                <w:bCs w:val="0"/>
                <w:szCs w:val="22"/>
              </w:rPr>
            </w:pPr>
            <w:r w:rsidRPr="00243D95">
              <w:rPr>
                <w:rFonts w:cs="Times New Roman"/>
                <w:bCs w:val="0"/>
                <w:szCs w:val="22"/>
              </w:rPr>
              <w:t>Actual</w:t>
            </w:r>
          </w:p>
        </w:tc>
      </w:tr>
      <w:tr w:rsidTr="00000FB7">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681E32" w:rsidP="00000FB7">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681E32" w:rsidP="00000FB7">
            <w:pPr>
              <w:jc w:val="right"/>
            </w:pPr>
            <w:r>
              <w:t>$6,695,820</w:t>
            </w:r>
          </w:p>
        </w:tc>
      </w:tr>
      <w:tr w:rsidTr="00000FB7">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681E32" w:rsidP="00000FB7">
            <w:pPr>
              <w:spacing w:before="40" w:after="40" w:line="240" w:lineRule="auto"/>
              <w:rPr>
                <w:rFonts w:cs="Times New Roman"/>
                <w:b w:val="0"/>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681E32" w:rsidP="00000FB7">
            <w:pPr>
              <w:jc w:val="right"/>
            </w:pPr>
            <w:r>
              <w:t>$811,528</w:t>
            </w:r>
          </w:p>
        </w:tc>
      </w:tr>
      <w:tr w:rsidTr="00000FB7">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681E32" w:rsidP="00000FB7">
            <w:pPr>
              <w:spacing w:before="40" w:after="40" w:line="240" w:lineRule="auto"/>
              <w:rPr>
                <w:rFonts w:cs="Times New Roman"/>
                <w:b w:val="0"/>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681E32" w:rsidP="00000FB7">
            <w:pPr>
              <w:jc w:val="right"/>
            </w:pPr>
            <w:r>
              <w:t>$16,087</w:t>
            </w:r>
          </w:p>
        </w:tc>
      </w:tr>
      <w:tr w:rsidTr="00000FB7">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681E32" w:rsidP="00000FB7">
            <w:pPr>
              <w:spacing w:before="40" w:after="40" w:line="240" w:lineRule="auto"/>
              <w:rPr>
                <w:rFonts w:cs="Times New Roman"/>
                <w:b w:val="0"/>
                <w:szCs w:val="22"/>
              </w:rPr>
            </w:pPr>
            <w:r>
              <w:rPr>
                <w:rFonts w:cs="Times New Roman"/>
                <w:b w:val="0"/>
                <w:szCs w:val="22"/>
              </w:rPr>
              <w:t>Government Grants State</w:t>
            </w:r>
          </w:p>
        </w:tc>
        <w:tc>
          <w:tcPr>
            <w:tcW w:w="1425" w:type="pct"/>
            <w:shd w:val="clear" w:color="auto" w:fill="F2F2F2" w:themeFill="background1" w:themeFillShade="F2"/>
            <w:noWrap/>
            <w:vAlign w:val="center"/>
          </w:tcPr>
          <w:p w:rsidR="00681E32" w:rsidP="00000FB7">
            <w:pPr>
              <w:jc w:val="right"/>
            </w:pPr>
            <w:r>
              <w:t>$10,720</w:t>
            </w:r>
          </w:p>
        </w:tc>
      </w:tr>
      <w:tr w:rsidTr="00000FB7">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681E32" w:rsidP="00000FB7">
            <w:pPr>
              <w:spacing w:before="40" w:after="40" w:line="240" w:lineRule="auto"/>
              <w:rPr>
                <w:rFonts w:cs="Times New Roman"/>
                <w:b w:val="0"/>
                <w:szCs w:val="22"/>
              </w:rPr>
            </w:pPr>
            <w:r>
              <w:rPr>
                <w:rFonts w:cs="Times New Roman"/>
                <w:b w:val="0"/>
                <w:bCs w:val="0"/>
                <w:szCs w:val="22"/>
              </w:rPr>
              <w:t>Revenue Other</w:t>
            </w:r>
          </w:p>
        </w:tc>
        <w:tc>
          <w:tcPr>
            <w:tcW w:w="1425" w:type="pct"/>
            <w:shd w:val="clear" w:color="auto" w:fill="D9D9D9" w:themeFill="background1" w:themeFillShade="D9"/>
            <w:noWrap/>
            <w:vAlign w:val="center"/>
          </w:tcPr>
          <w:p w:rsidR="00681E32" w:rsidP="00000FB7">
            <w:pPr>
              <w:jc w:val="right"/>
            </w:pPr>
            <w:r>
              <w:t>$208,493</w:t>
            </w:r>
          </w:p>
        </w:tc>
      </w:tr>
      <w:tr w:rsidTr="00000FB7">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681E32" w:rsidP="00000FB7">
            <w:pPr>
              <w:spacing w:before="40" w:after="40" w:line="240" w:lineRule="auto"/>
              <w:rPr>
                <w:rFonts w:cs="Times New Roman"/>
                <w:b w:val="0"/>
                <w:bCs w:val="0"/>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681E32" w:rsidP="00000FB7">
            <w:pPr>
              <w:jc w:val="right"/>
            </w:pPr>
            <w:r>
              <w:t>$239,419</w:t>
            </w:r>
          </w:p>
        </w:tc>
      </w:tr>
      <w:tr w:rsidTr="00000FB7">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681E32" w:rsidRPr="007A1EF3" w:rsidP="00000FB7">
            <w:pPr>
              <w:spacing w:before="40" w:after="40" w:line="240" w:lineRule="auto"/>
              <w:rPr>
                <w:rFonts w:cs="Times New Roman"/>
                <w:b w:val="0"/>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681E32" w:rsidP="00000FB7">
            <w:pPr>
              <w:jc w:val="right"/>
            </w:pPr>
            <w:r>
              <w:t>$0</w:t>
            </w:r>
          </w:p>
        </w:tc>
      </w:tr>
      <w:tr w:rsidTr="00000FB7">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681E32" w:rsidP="00000FB7">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681E32" w:rsidRPr="00243D95" w:rsidP="00000FB7">
            <w:pPr>
              <w:jc w:val="right"/>
              <w:rPr>
                <w:b/>
                <w:bCs/>
              </w:rPr>
            </w:pPr>
            <w:r>
              <w:rPr>
                <w:b/>
                <w:bCs/>
              </w:rPr>
              <w:t>$7,982,067</w:t>
            </w:r>
          </w:p>
        </w:tc>
      </w:tr>
    </w:tbl>
    <w:p w:rsidR="00681E32" w:rsidP="00681E32">
      <w:pPr>
        <w:pStyle w:val="ESBodyText0"/>
      </w:pPr>
      <w:bookmarkEnd w:id="1"/>
    </w:p>
    <w:tbl>
      <w:tblPr>
        <w:tblStyle w:val="GridTable2-Accent612"/>
        <w:tblCaption w:val="FInance - Equity table"/>
        <w:tblW w:w="2876" w:type="pct"/>
        <w:jc w:val="center"/>
        <w:tblLook w:val="04A0"/>
      </w:tblPr>
      <w:tblGrid>
        <w:gridCol w:w="4428"/>
        <w:gridCol w:w="1765"/>
      </w:tblGrid>
      <w:tr w:rsidTr="00000FB7">
        <w:tblPrEx>
          <w:tblW w:w="2876" w:type="pct"/>
          <w:jc w:val="center"/>
          <w:tblLook w:val="04A0"/>
        </w:tblPrEx>
        <w:trPr>
          <w:trHeight w:hRule="exact" w:val="284"/>
          <w:tblHeader/>
          <w:jc w:val="center"/>
        </w:trPr>
        <w:tc>
          <w:tcPr>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8265A1" w:rsidRPr="00243D95" w:rsidP="00000FB7">
            <w:pPr>
              <w:spacing w:before="40" w:after="40" w:line="240" w:lineRule="auto"/>
              <w:rPr>
                <w:rFonts w:cs="Times New Roman"/>
                <w:bCs w:val="0"/>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8265A1" w:rsidRPr="00243D95" w:rsidP="00000FB7">
            <w:pPr>
              <w:spacing w:before="40" w:after="40" w:line="240" w:lineRule="auto"/>
              <w:jc w:val="right"/>
              <w:rPr>
                <w:rFonts w:cs="Times New Roman"/>
                <w:bCs w:val="0"/>
                <w:szCs w:val="22"/>
              </w:rPr>
            </w:pPr>
            <w:r w:rsidRPr="00243D95">
              <w:rPr>
                <w:rFonts w:cs="Times New Roman"/>
                <w:bCs w:val="0"/>
                <w:szCs w:val="22"/>
              </w:rPr>
              <w:t>Actual</w:t>
            </w:r>
          </w:p>
        </w:tc>
      </w:tr>
      <w:tr w:rsidTr="00000FB7">
        <w:tblPrEx>
          <w:tblW w:w="2876" w:type="pct"/>
          <w:jc w:val="center"/>
          <w:tblLook w:val="04A0"/>
        </w:tblPrEx>
        <w:trPr>
          <w:trHeight w:hRule="exact" w:val="284"/>
          <w:jc w:val="center"/>
        </w:trPr>
        <w:tc>
          <w:tcPr>
            <w:tcW w:w="3228" w:type="pct"/>
            <w:tcBorders>
              <w:top w:val="single" w:sz="8" w:space="0" w:color="FFFFFF" w:themeColor="background1"/>
              <w:bottom w:val="nil"/>
              <w:right w:val="nil"/>
            </w:tcBorders>
            <w:shd w:val="clear" w:color="auto" w:fill="D9D9D9" w:themeFill="background1" w:themeFillShade="D9"/>
            <w:noWrap/>
            <w:vAlign w:val="center"/>
          </w:tcPr>
          <w:p w:rsidR="008265A1" w:rsidP="00000FB7">
            <w:pPr>
              <w:spacing w:before="40" w:after="40" w:line="240" w:lineRule="auto"/>
              <w:rPr>
                <w:rFonts w:cs="Times New Roman"/>
                <w:b w:val="0"/>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8265A1" w:rsidP="00000FB7">
            <w:pPr>
              <w:jc w:val="right"/>
            </w:pPr>
            <w:r>
              <w:t>$878,386</w:t>
            </w:r>
          </w:p>
        </w:tc>
      </w:tr>
      <w:tr w:rsidTr="00000FB7">
        <w:tblPrEx>
          <w:tblW w:w="2876" w:type="pct"/>
          <w:jc w:val="center"/>
          <w:tblLook w:val="04A0"/>
        </w:tblPrEx>
        <w:trPr>
          <w:trHeight w:hRule="exact" w:val="284"/>
          <w:jc w:val="center"/>
        </w:trPr>
        <w:tc>
          <w:tcPr>
            <w:tcW w:w="3228" w:type="pct"/>
            <w:tcBorders>
              <w:top w:val="nil"/>
              <w:bottom w:val="nil"/>
              <w:right w:val="nil"/>
            </w:tcBorders>
            <w:shd w:val="clear" w:color="auto" w:fill="F2F2F2" w:themeFill="background1" w:themeFillShade="F2"/>
            <w:noWrap/>
            <w:vAlign w:val="center"/>
          </w:tcPr>
          <w:p w:rsidR="008265A1" w:rsidP="00000FB7">
            <w:pPr>
              <w:spacing w:before="40" w:after="40" w:line="240" w:lineRule="auto"/>
              <w:rPr>
                <w:rFonts w:cs="Times New Roman"/>
                <w:b w:val="0"/>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8265A1" w:rsidP="00000FB7">
            <w:pPr>
              <w:jc w:val="right"/>
            </w:pPr>
            <w:r>
              <w:t>$42,104</w:t>
            </w:r>
          </w:p>
        </w:tc>
      </w:tr>
      <w:tr w:rsidTr="00000FB7">
        <w:tblPrEx>
          <w:tblW w:w="2876" w:type="pct"/>
          <w:jc w:val="center"/>
          <w:tblLook w:val="04A0"/>
        </w:tblPrEx>
        <w:trPr>
          <w:trHeight w:hRule="exact" w:val="284"/>
          <w:jc w:val="center"/>
        </w:trPr>
        <w:tc>
          <w:tcPr>
            <w:tcW w:w="3228" w:type="pct"/>
            <w:tcBorders>
              <w:top w:val="nil"/>
              <w:bottom w:val="nil"/>
              <w:right w:val="nil"/>
            </w:tcBorders>
            <w:shd w:val="clear" w:color="auto" w:fill="D9D9D9" w:themeFill="background1" w:themeFillShade="D9"/>
            <w:noWrap/>
            <w:vAlign w:val="center"/>
          </w:tcPr>
          <w:p w:rsidR="008265A1" w:rsidP="00000FB7">
            <w:pPr>
              <w:spacing w:before="40" w:after="40" w:line="240" w:lineRule="auto"/>
              <w:rPr>
                <w:rFonts w:cs="Times New Roman"/>
                <w:b w:val="0"/>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8265A1" w:rsidP="00000FB7">
            <w:pPr>
              <w:jc w:val="right"/>
            </w:pPr>
            <w:r>
              <w:t>$0</w:t>
            </w:r>
          </w:p>
        </w:tc>
      </w:tr>
      <w:tr w:rsidTr="00000FB7">
        <w:tblPrEx>
          <w:tblW w:w="2876" w:type="pct"/>
          <w:jc w:val="center"/>
          <w:tblLook w:val="04A0"/>
        </w:tblPrEx>
        <w:trPr>
          <w:trHeight w:hRule="exact" w:val="284"/>
          <w:jc w:val="center"/>
        </w:trPr>
        <w:tc>
          <w:tcPr>
            <w:tcW w:w="3228" w:type="pct"/>
            <w:tcBorders>
              <w:top w:val="nil"/>
              <w:bottom w:val="single" w:sz="8" w:space="0" w:color="FFFFFF" w:themeColor="background1"/>
              <w:right w:val="nil"/>
            </w:tcBorders>
            <w:shd w:val="clear" w:color="auto" w:fill="F2F2F2" w:themeFill="background1" w:themeFillShade="F2"/>
            <w:noWrap/>
            <w:vAlign w:val="center"/>
          </w:tcPr>
          <w:p w:rsidR="008265A1" w:rsidP="00000FB7">
            <w:pPr>
              <w:spacing w:before="40" w:after="40" w:line="240" w:lineRule="auto"/>
              <w:rPr>
                <w:rFonts w:cs="Times New Roman"/>
                <w:b w:val="0"/>
                <w:szCs w:val="22"/>
              </w:rPr>
            </w:pPr>
            <w:r>
              <w:rPr>
                <w:rFonts w:cs="Times New Roman"/>
                <w:b w:val="0"/>
                <w:szCs w:val="22"/>
              </w:rPr>
              <w:t>Equity (Social Disadvantage – Extraordinary Growth)</w:t>
            </w:r>
          </w:p>
          <w:p w:rsidR="008265A1" w:rsidP="00000FB7">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8265A1" w:rsidP="00000FB7">
            <w:pPr>
              <w:jc w:val="right"/>
            </w:pPr>
            <w:r>
              <w:t>$0</w:t>
            </w:r>
          </w:p>
        </w:tc>
      </w:tr>
      <w:tr w:rsidTr="00000FB7">
        <w:tblPrEx>
          <w:tblW w:w="2876" w:type="pct"/>
          <w:jc w:val="center"/>
          <w:tblLook w:val="04A0"/>
        </w:tblPrEx>
        <w:trPr>
          <w:trHeight w:hRule="exact" w:val="284"/>
          <w:jc w:val="center"/>
        </w:trPr>
        <w:tc>
          <w:tcPr>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8265A1" w:rsidRPr="00243D95" w:rsidP="00000FB7">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8265A1" w:rsidRPr="00243D95" w:rsidP="00000FB7">
            <w:pPr>
              <w:jc w:val="right"/>
              <w:rPr>
                <w:b/>
                <w:bCs/>
              </w:rPr>
            </w:pPr>
            <w:r>
              <w:rPr>
                <w:b/>
                <w:bCs/>
              </w:rPr>
              <w:t>$920,490</w:t>
            </w:r>
          </w:p>
        </w:tc>
      </w:tr>
    </w:tbl>
    <w:p w:rsidR="008265A1" w:rsidP="00681E32">
      <w:pPr>
        <w:pStyle w:val="ESBodyText0"/>
      </w:pPr>
    </w:p>
    <w:tbl>
      <w:tblPr>
        <w:tblStyle w:val="GridTable2-Accent612"/>
        <w:tblCaption w:val="Finance - Expenditure table"/>
        <w:tblW w:w="2876" w:type="pct"/>
        <w:jc w:val="center"/>
        <w:tblLook w:val="04A0"/>
      </w:tblPr>
      <w:tblGrid>
        <w:gridCol w:w="4386"/>
        <w:gridCol w:w="1795"/>
      </w:tblGrid>
      <w:tr w:rsidTr="00000FB7">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004FD6" w:rsidRPr="00243D95" w:rsidP="00000FB7">
            <w:pPr>
              <w:spacing w:before="40" w:after="40" w:line="240" w:lineRule="auto"/>
              <w:rPr>
                <w:rFonts w:cs="Times New Roman"/>
                <w:bCs w:val="0"/>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004FD6" w:rsidRPr="00243D95" w:rsidP="00000FB7">
            <w:pPr>
              <w:spacing w:before="40" w:after="40" w:line="240" w:lineRule="auto"/>
              <w:jc w:val="right"/>
              <w:rPr>
                <w:rFonts w:cs="Times New Roman"/>
                <w:bCs w:val="0"/>
                <w:szCs w:val="22"/>
              </w:rPr>
            </w:pPr>
            <w:r w:rsidRPr="00243D95">
              <w:rPr>
                <w:rFonts w:cs="Times New Roman"/>
                <w:bCs w:val="0"/>
                <w:szCs w:val="22"/>
              </w:rPr>
              <w:t>Actual</w:t>
            </w:r>
          </w:p>
        </w:tc>
      </w:tr>
      <w:tr w:rsidTr="00000FB7">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004FD6" w:rsidP="00000FB7">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004FD6" w:rsidP="00000FB7">
            <w:pPr>
              <w:jc w:val="right"/>
            </w:pPr>
            <w:r>
              <w:t>$6,736,732</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004FD6" w:rsidP="00000FB7">
            <w:pPr>
              <w:jc w:val="right"/>
            </w:pPr>
            <w:r>
              <w:t>$0</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004FD6" w:rsidP="00000FB7">
            <w:pPr>
              <w:jc w:val="right"/>
            </w:pPr>
            <w:r>
              <w:t>$877</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b w:val="0"/>
                <w:bCs w:val="0"/>
                <w:szCs w:val="22"/>
              </w:rPr>
            </w:pPr>
            <w:r w:rsidRPr="00140216">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004FD6" w:rsidP="00000FB7">
            <w:pPr>
              <w:jc w:val="right"/>
            </w:pPr>
            <w:r>
              <w:t>$41,997</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004FD6" w:rsidP="00000FB7">
            <w:pPr>
              <w:jc w:val="right"/>
            </w:pPr>
            <w:r>
              <w:t>$13,937</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004FD6" w:rsidP="00000FB7">
            <w:pPr>
              <w:jc w:val="right"/>
            </w:pPr>
            <w:r>
              <w:t>$175,114</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004FD6" w:rsidP="00000FB7">
            <w:pPr>
              <w:jc w:val="right"/>
            </w:pPr>
            <w:r>
              <w:t>$30,101</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004FD6" w:rsidP="00000FB7">
            <w:pPr>
              <w:jc w:val="right"/>
            </w:pPr>
            <w:r>
              <w:t>$26,398</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szCs w:val="22"/>
              </w:rPr>
            </w:pPr>
            <w:r w:rsidRPr="00140216">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004FD6" w:rsidP="00000FB7">
            <w:pPr>
              <w:jc w:val="right"/>
            </w:pPr>
            <w:r>
              <w:t>$186,672</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004FD6" w:rsidP="00000FB7">
            <w:pPr>
              <w:jc w:val="right"/>
            </w:pPr>
            <w:r>
              <w:t>$134,909</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004FD6" w:rsidP="00000FB7">
            <w:pPr>
              <w:jc w:val="right"/>
            </w:pPr>
            <w:r>
              <w:t>$60,124</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004FD6" w:rsidP="00000FB7">
            <w:pPr>
              <w:jc w:val="right"/>
            </w:pPr>
            <w:r>
              <w:t>$341,506</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004FD6" w:rsidP="00000FB7">
            <w:pPr>
              <w:jc w:val="right"/>
            </w:pPr>
            <w:r>
              <w:t>$54,649</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004FD6" w:rsidP="00000FB7">
            <w:pPr>
              <w:spacing w:before="40" w:after="40" w:line="240" w:lineRule="auto"/>
              <w:rPr>
                <w:rFonts w:cs="Times New Roman"/>
                <w:b w:val="0"/>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004FD6" w:rsidP="00000FB7">
            <w:pPr>
              <w:jc w:val="right"/>
            </w:pPr>
            <w:r>
              <w:t>$7,562</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004FD6" w:rsidP="00000FB7">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004FD6" w:rsidP="00000FB7">
            <w:pPr>
              <w:jc w:val="right"/>
            </w:pPr>
            <w:r>
              <w:t>$0</w:t>
            </w:r>
          </w:p>
        </w:tc>
      </w:tr>
      <w:tr w:rsidTr="00000FB7">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004FD6" w:rsidP="00000FB7">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004FD6" w:rsidP="00000FB7">
            <w:pPr>
              <w:jc w:val="right"/>
            </w:pPr>
            <w:r>
              <w:t>$81,018</w:t>
            </w:r>
          </w:p>
        </w:tc>
      </w:tr>
      <w:tr w:rsidTr="00000FB7">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004FD6" w:rsidP="00000FB7">
            <w:pPr>
              <w:rPr>
                <w:rFonts w:cs="Times New Roman"/>
                <w:szCs w:val="22"/>
              </w:rPr>
            </w:pPr>
            <w:r>
              <w:rPr>
                <w:rFonts w:cs="Times New Roman"/>
                <w:szCs w:val="22"/>
              </w:rPr>
              <w:t>Total Operating Expenditure</w:t>
            </w:r>
          </w:p>
          <w:p w:rsidR="00004FD6" w:rsidP="00000FB7">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004FD6" w:rsidRPr="0099239B" w:rsidP="00000FB7">
            <w:pPr>
              <w:jc w:val="right"/>
              <w:rPr>
                <w:b/>
                <w:bCs/>
              </w:rPr>
            </w:pPr>
            <w:r>
              <w:rPr>
                <w:b/>
                <w:bCs/>
              </w:rPr>
              <w:t>$7,891,596</w:t>
            </w:r>
          </w:p>
        </w:tc>
      </w:tr>
      <w:tr w:rsidTr="00000FB7">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004FD6" w:rsidP="00000FB7">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004FD6" w:rsidRPr="0099239B" w:rsidP="00000FB7">
            <w:pPr>
              <w:jc w:val="right"/>
              <w:rPr>
                <w:b/>
                <w:bCs/>
              </w:rPr>
            </w:pPr>
            <w:r>
              <w:rPr>
                <w:b/>
                <w:bCs/>
              </w:rPr>
              <w:t>$90,471</w:t>
            </w:r>
          </w:p>
        </w:tc>
      </w:tr>
      <w:tr w:rsidTr="00000FB7">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004FD6" w:rsidP="00000FB7">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004FD6" w:rsidRPr="0099239B" w:rsidP="00000FB7">
            <w:pPr>
              <w:jc w:val="right"/>
              <w:rPr>
                <w:b/>
                <w:bCs/>
              </w:rPr>
            </w:pPr>
            <w:r>
              <w:rPr>
                <w:b/>
                <w:bCs/>
              </w:rPr>
              <w:t>$251,587</w:t>
            </w:r>
          </w:p>
        </w:tc>
      </w:tr>
    </w:tbl>
    <w:p w:rsidR="00004FD6" w:rsidP="00681E32">
      <w:pPr>
        <w:pStyle w:val="ESBodyText0"/>
      </w:pPr>
    </w:p>
    <w:p w:rsidR="00597610" w:rsidP="00597610">
      <w:pPr>
        <w:pStyle w:val="ESBodyText0"/>
        <w:numPr>
          <w:ilvl w:val="0"/>
          <w:numId w:val="30"/>
        </w:numPr>
      </w:pPr>
      <w:r>
        <w:t>The equity funding reported above is a subset of the overall revenue reported by the school.</w:t>
      </w:r>
    </w:p>
    <w:p w:rsidR="00597610" w:rsidP="00597610">
      <w:pPr>
        <w:pStyle w:val="ESBodyText0"/>
        <w:numPr>
          <w:ilvl w:val="0"/>
          <w:numId w:val="30"/>
        </w:numPr>
      </w:pPr>
      <w:r>
        <w:t xml:space="preserve">Student Resource Package Expenditure figures are as of </w:t>
      </w:r>
      <w:r>
        <w:t>20 Feb 2024</w:t>
      </w:r>
      <w:r>
        <w:t xml:space="preserve"> and are subject to change during the reconciliation process.</w:t>
      </w:r>
    </w:p>
    <w:p w:rsidR="00597610" w:rsidP="00597610">
      <w:pPr>
        <w:pStyle w:val="ESBodyText0"/>
        <w:numPr>
          <w:ilvl w:val="0"/>
          <w:numId w:val="30"/>
        </w:numPr>
      </w:pPr>
      <w:r>
        <w:t xml:space="preserve">Miscellaneous Expenses include bank charges, administration expenses, </w:t>
      </w:r>
      <w:r>
        <w:t>insurance</w:t>
      </w:r>
      <w:r>
        <w:t xml:space="preserve"> and taxation charges.</w:t>
      </w:r>
    </w:p>
    <w:p w:rsidR="00597610" w:rsidP="00597610">
      <w:pPr>
        <w:pStyle w:val="ESBodyText0"/>
        <w:numPr>
          <w:ilvl w:val="0"/>
          <w:numId w:val="30"/>
        </w:numPr>
      </w:pPr>
      <w:r>
        <w:t>Salaries and Allowances refers to school-level payroll.</w:t>
      </w:r>
    </w:p>
    <w:p w:rsidR="00597610" w:rsidP="00681E32">
      <w:pPr>
        <w:pStyle w:val="ESBodyText0"/>
      </w:pPr>
    </w:p>
    <w:p w:rsidR="00F7013D" w:rsidP="00681E32">
      <w:pPr>
        <w:pStyle w:val="ESBodyText0"/>
      </w:pPr>
    </w:p>
    <w:p w:rsidR="00F7013D" w:rsidP="00F7013D">
      <w:pPr>
        <w:pStyle w:val="Style10"/>
        <w:spacing w:before="240" w:after="480" w:line="240" w:lineRule="atLeast"/>
        <w:rPr>
          <w:szCs w:val="24"/>
        </w:rPr>
      </w:pPr>
      <w:r w:rsidRPr="0099239B">
        <w:rPr>
          <w:szCs w:val="24"/>
        </w:rPr>
        <w:t>F</w:t>
      </w:r>
      <w:r>
        <w:rPr>
          <w:szCs w:val="24"/>
        </w:rPr>
        <w:t xml:space="preserve">INANCIAL POSITION AS AT 31 DECEMBER </w:t>
      </w:r>
      <w:r>
        <w:rPr>
          <w:szCs w:val="24"/>
        </w:rPr>
        <w:t>2023</w:t>
      </w:r>
    </w:p>
    <w:tbl>
      <w:tblPr>
        <w:tblStyle w:val="GridTable2-Accent612"/>
        <w:tblCaption w:val="Fund available"/>
        <w:tblW w:w="2876" w:type="pct"/>
        <w:jc w:val="center"/>
        <w:tblLook w:val="04A0"/>
      </w:tblPr>
      <w:tblGrid>
        <w:gridCol w:w="4395"/>
        <w:gridCol w:w="1798"/>
      </w:tblGrid>
      <w:tr w:rsidTr="00000FB7">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ED0F73" w:rsidRPr="004143FD" w:rsidP="00000FB7">
            <w:pPr>
              <w:spacing w:before="40" w:after="40" w:line="240" w:lineRule="auto"/>
              <w:rPr>
                <w:rFonts w:cs="Times New Roman"/>
                <w:bCs w:val="0"/>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ED0F73" w:rsidRPr="004143FD" w:rsidP="00000FB7">
            <w:pPr>
              <w:spacing w:before="40" w:after="40" w:line="240" w:lineRule="auto"/>
              <w:jc w:val="right"/>
              <w:rPr>
                <w:rFonts w:cs="Times New Roman"/>
                <w:bCs w:val="0"/>
                <w:szCs w:val="22"/>
              </w:rPr>
            </w:pPr>
            <w:r w:rsidRPr="004143FD">
              <w:rPr>
                <w:rFonts w:cs="Times New Roman"/>
                <w:bCs w:val="0"/>
                <w:szCs w:val="22"/>
              </w:rPr>
              <w:t>Actual</w:t>
            </w:r>
          </w:p>
        </w:tc>
      </w:tr>
      <w:tr w:rsidTr="00000FB7">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ED0F73" w:rsidP="00000FB7">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ED0F73" w:rsidP="00000FB7">
            <w:pPr>
              <w:jc w:val="right"/>
            </w:pPr>
            <w:r>
              <w:t>$1,687,173</w:t>
            </w:r>
          </w:p>
        </w:tc>
      </w:tr>
      <w:tr w:rsidTr="00000FB7">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ED0F73" w:rsidP="00000FB7">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ED0F73" w:rsidP="00000FB7">
            <w:pPr>
              <w:jc w:val="right"/>
            </w:pPr>
            <w:r>
              <w:t>$12,470</w:t>
            </w:r>
          </w:p>
        </w:tc>
      </w:tr>
      <w:tr w:rsidTr="00000FB7">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ED0F73" w:rsidP="00000FB7">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ED0F73" w:rsidP="00000FB7">
            <w:pPr>
              <w:jc w:val="right"/>
            </w:pPr>
            <w:r>
              <w:t>$0</w:t>
            </w:r>
          </w:p>
        </w:tc>
      </w:tr>
      <w:tr w:rsidTr="00000FB7">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ED0F73" w:rsidRPr="000C0E44" w:rsidP="00000FB7">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ED0F73" w:rsidRPr="000C0E44" w:rsidP="00000FB7">
            <w:pPr>
              <w:jc w:val="right"/>
              <w:rPr>
                <w:b/>
                <w:bCs/>
              </w:rPr>
            </w:pPr>
            <w:r>
              <w:rPr>
                <w:b/>
                <w:bCs/>
              </w:rPr>
              <w:t>$1,699,642</w:t>
            </w:r>
          </w:p>
        </w:tc>
      </w:tr>
    </w:tbl>
    <w:p w:rsidR="00F7013D" w:rsidP="00681E32">
      <w:pPr>
        <w:pStyle w:val="ESBodyText0"/>
      </w:pPr>
    </w:p>
    <w:tbl>
      <w:tblPr>
        <w:tblStyle w:val="GridTable2-Accent612"/>
        <w:tblCaption w:val="Fund available"/>
        <w:tblW w:w="2876" w:type="pct"/>
        <w:jc w:val="center"/>
        <w:tblLook w:val="04A0"/>
      </w:tblPr>
      <w:tblGrid>
        <w:gridCol w:w="4396"/>
        <w:gridCol w:w="1797"/>
      </w:tblGrid>
      <w:tr w:rsidTr="00000FB7">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670695" w:rsidRPr="004143FD" w:rsidP="00000FB7">
            <w:pPr>
              <w:spacing w:before="40" w:after="40" w:line="240" w:lineRule="auto"/>
              <w:rPr>
                <w:rFonts w:cs="Times New Roman"/>
                <w:bCs w:val="0"/>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670695" w:rsidRPr="004143FD" w:rsidP="00000FB7">
            <w:pPr>
              <w:spacing w:before="40" w:after="40" w:line="240" w:lineRule="auto"/>
              <w:jc w:val="right"/>
              <w:rPr>
                <w:rFonts w:cs="Times New Roman"/>
                <w:bCs w:val="0"/>
                <w:szCs w:val="22"/>
              </w:rPr>
            </w:pPr>
            <w:r w:rsidRPr="004143FD">
              <w:rPr>
                <w:rFonts w:cs="Times New Roman"/>
                <w:bCs w:val="0"/>
                <w:szCs w:val="22"/>
              </w:rPr>
              <w:t>Actual</w:t>
            </w:r>
          </w:p>
        </w:tc>
      </w:tr>
      <w:tr w:rsidTr="00000FB7">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670695" w:rsidP="00000FB7">
            <w:pPr>
              <w:spacing w:before="40" w:after="40" w:line="240" w:lineRule="auto"/>
              <w:rPr>
                <w:rFonts w:cs="Times New Roman"/>
                <w:b w:val="0"/>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670695" w:rsidP="00000FB7">
            <w:pPr>
              <w:jc w:val="right"/>
            </w:pPr>
            <w:r>
              <w:t>$173,313</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$2,854</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670695" w:rsidP="00000FB7">
            <w:pPr>
              <w:spacing w:before="40" w:after="40" w:line="240" w:lineRule="auto"/>
              <w:rPr>
                <w:rFonts w:cs="Times New Roman"/>
                <w:b w:val="0"/>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670695" w:rsidP="00000FB7">
            <w:pPr>
              <w:spacing w:before="40" w:after="40" w:line="240" w:lineRule="auto"/>
              <w:rPr>
                <w:rFonts w:cs="Times New Roman"/>
                <w:b w:val="0"/>
                <w:bCs w:val="0"/>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670695" w:rsidP="00000FB7">
            <w:pPr>
              <w:jc w:val="right"/>
            </w:pPr>
            <w:r>
              <w:t>$4,235</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$130,195</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670695" w:rsidP="00000FB7">
            <w:pPr>
              <w:spacing w:before="40" w:after="40" w:line="240" w:lineRule="auto"/>
              <w:rPr>
                <w:rFonts w:cs="Times New Roman"/>
                <w:b w:val="0"/>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670695" w:rsidP="00000FB7">
            <w:pPr>
              <w:spacing w:before="40" w:after="40" w:line="240" w:lineRule="auto"/>
              <w:rPr>
                <w:rFonts w:cs="Times New Roman"/>
                <w:b w:val="0"/>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670695" w:rsidP="00000FB7">
            <w:pPr>
              <w:spacing w:before="40" w:after="40" w:line="240" w:lineRule="auto"/>
              <w:rPr>
                <w:rFonts w:cs="Times New Roman"/>
                <w:b w:val="0"/>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$34,400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670695" w:rsidP="00000FB7">
            <w:pPr>
              <w:spacing w:before="40" w:after="40" w:line="240" w:lineRule="auto"/>
              <w:rPr>
                <w:rFonts w:cs="Times New Roman"/>
                <w:b w:val="0"/>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670695" w:rsidP="00000FB7">
            <w:pPr>
              <w:spacing w:before="40" w:after="40" w:line="240" w:lineRule="auto"/>
              <w:rPr>
                <w:rFonts w:cs="Times New Roman"/>
                <w:b w:val="0"/>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670695" w:rsidP="00000FB7">
            <w:pPr>
              <w:spacing w:before="40" w:after="40" w:line="240" w:lineRule="auto"/>
              <w:rPr>
                <w:rFonts w:cs="Times New Roman"/>
                <w:b w:val="0"/>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670695" w:rsidP="00000FB7">
            <w:pPr>
              <w:jc w:val="right"/>
            </w:pPr>
            <w:r>
              <w:t>$0</w:t>
            </w:r>
          </w:p>
        </w:tc>
      </w:tr>
      <w:tr w:rsidTr="00000FB7">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670695" w:rsidRPr="004143FD" w:rsidP="00000FB7">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670695" w:rsidRPr="004143FD" w:rsidP="00000FB7">
            <w:pPr>
              <w:jc w:val="right"/>
              <w:rPr>
                <w:b/>
                <w:bCs/>
              </w:rPr>
            </w:pPr>
            <w:r>
              <w:rPr>
                <w:b/>
                <w:bCs/>
              </w:rPr>
              <w:t>$344,997</w:t>
            </w:r>
          </w:p>
        </w:tc>
      </w:tr>
    </w:tbl>
    <w:p w:rsidR="00670695" w:rsidP="00681E32">
      <w:pPr>
        <w:pStyle w:val="ESBodyText0"/>
      </w:pPr>
    </w:p>
    <w:p w:rsidR="00826333" w:rsidP="00826333">
      <w:pPr>
        <w:pStyle w:val="ESBodyText0"/>
        <w:rPr>
          <w:i/>
        </w:rPr>
      </w:pPr>
      <w:r>
        <w:rPr>
          <w:i/>
        </w:rPr>
        <w:t>All funds received from the Department of Education, or raised by the school, have been expended, or committed to subsequent years, to support the achievement of educational outcomes and other operational needs of the school, consistent with department policies, School Council approvals and the intent/purposes for which funding was provided or raised.</w:t>
      </w:r>
    </w:p>
    <w:p w:rsidR="00670695" w:rsidP="00681E32">
      <w:pPr>
        <w:pStyle w:val="ESBodyText0"/>
      </w:pPr>
    </w:p>
    <w:sectPr w:rsidSect="002334ED">
      <w:headerReference w:type="default" r:id="rId39"/>
      <w:footerReference w:type="default" r:id="rId40"/>
      <w:headerReference w:type="first" r:id="rId41"/>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0118765"/>
      <w:docPartObj>
        <w:docPartGallery w:val="Page Numbers (Bottom of Page)"/>
        <w:docPartUnique/>
      </w:docPartObj>
    </w:sdtPr>
    <w:sdtEndPr>
      <w:rPr>
        <w:noProof/>
      </w:rPr>
    </w:sdtEndPr>
    <w:sdtContent>
      <w:p w:rsidR="005E4B2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5E4B2D">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8642969"/>
      <w:docPartObj>
        <w:docPartGallery w:val="Page Numbers (Bottom of Page)"/>
        <w:docPartUnique/>
      </w:docPartObj>
    </w:sdtPr>
    <w:sdtEndPr>
      <w:rPr>
        <w:rStyle w:val="DefaultParagraphFont"/>
        <w:noProof/>
      </w:rPr>
    </w:sdtEndPr>
    <w:sdtContent>
      <w:p w:rsidR="005E4B2D">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2CB"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sidR="00A66941">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pPr>
    <w:r>
      <w:rPr>
        <w:noProof/>
        <w:lang w:val="en-AU" w:eastAsia="en-AU"/>
      </w:rPr>
      <w:drawing>
        <wp:inline distT="0" distB="0" distL="0" distR="0">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Monterey Secondary College</w:t>
    </w:r>
    <w:r>
      <w:rPr>
        <w:noProof/>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pPr>
    <w:r>
      <w:ptab w:relativeTo="margin" w:alignment="left" w:leader="none"/>
    </w:r>
  </w:p>
  <w:p w:rsidR="005E4B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Pr>
    </w:pPr>
    <w:r>
      <w:rPr>
        <w:noProof/>
        <w:lang w:val="en-AU" w:eastAsia="en-AU"/>
      </w:rPr>
      <w:drawing>
        <wp:inline distT="0" distB="0" distL="0" distR="0">
          <wp:extent cx="1574060" cy="474979"/>
          <wp:effectExtent l="0" t="0" r="7620" b="1905"/>
          <wp:docPr id="1866135762"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Monterey Secondary College</w:t>
    </w:r>
    <w:r>
      <w:rPr>
        <w:rStyle w:val="DefaultParagraphFont"/>
        <w:noProof/>
        <w:sz w:val="22"/>
        <w:lang w:val="en-AU" w:eastAsia="en-AU"/>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Pr>
    </w:pPr>
    <w:r>
      <w:ptab w:relativeTo="margin" w:alignment="left" w:leader="none"/>
    </w:r>
  </w:p>
  <w:p w:rsidR="005E4B2D">
    <w:pPr>
      <w:pStyle w:val="Header2"/>
      <w:rPr>
        <w:rStyle w:val="DefaultParagraphFon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rPr>
        <w:rStyle w:val="DefaultParagraphFont"/>
      </w:rPr>
    </w:pPr>
    <w:r>
      <w:rPr>
        <w:noProof/>
        <w:lang w:val="en-AU" w:eastAsia="en-AU"/>
      </w:rPr>
      <w:drawing>
        <wp:inline distT="0" distB="0" distL="0" distR="0">
          <wp:extent cx="1574060" cy="474979"/>
          <wp:effectExtent l="0" t="0" r="7620" b="1905"/>
          <wp:docPr id="172819812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Monterey Secondary College</w:t>
    </w:r>
    <w:r>
      <w:rPr>
        <w:rStyle w:val="DefaultParagraphFont"/>
        <w:noProof/>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rPr>
        <w:rStyle w:val="DefaultParagraphFont"/>
      </w:rPr>
    </w:pPr>
    <w:r>
      <w:ptab w:relativeTo="margin" w:alignment="left" w:leader="none"/>
    </w:r>
  </w:p>
  <w:p w:rsidR="005E4B2D">
    <w:pPr>
      <w:pStyle w:val="Header"/>
      <w:rPr>
        <w:rStyle w:val="DefaultParagraphFo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2"/>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FCB6DE3"/>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FCB6DE4"/>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
    <w:name w:val="Unresolved Mention"/>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chart" Target="charts/chart16.xml" /><Relationship Id="rId37" Type="http://schemas.openxmlformats.org/officeDocument/2006/relationships/chart" Target="charts/chart17.xml" /><Relationship Id="rId38" Type="http://schemas.openxmlformats.org/officeDocument/2006/relationships/chart" Target="charts/chart18.xml" /><Relationship Id="rId39" Type="http://schemas.openxmlformats.org/officeDocument/2006/relationships/header" Target="header8.xml" /><Relationship Id="rId4" Type="http://schemas.openxmlformats.org/officeDocument/2006/relationships/customXml" Target="../customXml/item1.xml" /><Relationship Id="rId40" Type="http://schemas.openxmlformats.org/officeDocument/2006/relationships/footer" Target="footer5.xml" /><Relationship Id="rId41" Type="http://schemas.openxmlformats.org/officeDocument/2006/relationships/header" Target="header9.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8.xml.rels>&#65279;<?xml version="1.0" encoding="utf-8" standalone="yes"?><Relationships xmlns="http://schemas.openxmlformats.org/package/2006/relationships"><Relationship Id="rId1" Type="http://schemas.openxmlformats.org/officeDocument/2006/relationships/image" Target="media/image4.jpe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9516320\Desktop\School%20Annual%20Report\Chart.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16.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6.xml" /><Relationship Id="rId3" Type="http://schemas.microsoft.com/office/2011/relationships/chartColorStyle" Target="chart/colors16.xml" /><Relationship Id="rId4" Type="http://schemas.microsoft.com/office/2011/relationships/chartStyle" Target="chart/style16.xml" /></Relationships>
</file>

<file path=word/charts/_rels/chart17.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7.xml" /><Relationship Id="rId3" Type="http://schemas.microsoft.com/office/2011/relationships/chartColorStyle" Target="chart/colors17.xml" /><Relationship Id="rId4" Type="http://schemas.microsoft.com/office/2011/relationships/chartStyle" Target="chart/style17.xml" /></Relationships>
</file>

<file path=word/charts/_rels/chart18.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8.xml" /><Relationship Id="rId3" Type="http://schemas.microsoft.com/office/2011/relationships/chartColorStyle" Target="chart/colors18.xml" /><Relationship Id="rId4" Type="http://schemas.microsoft.com/office/2011/relationships/chartStyle" Target="chart/style18.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0.835</c:v>
                </c:pt>
                <c:pt idx="1">
                  <c:v>0.731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0.216</c:v>
                </c:pt>
                <c:pt idx="1">
                  <c:v>0.321</c:v>
                </c:pt>
                <c:pt idx="2">
                  <c:v>0.472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(2022)</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0.212</c:v>
                </c:pt>
                <c:pt idx="1">
                  <c:v>0.341</c:v>
                </c:pt>
                <c:pt idx="2">
                  <c:v>0.525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(2022)</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0.163</c:v>
                </c:pt>
                <c:pt idx="1">
                  <c:v>0.266</c:v>
                </c:pt>
                <c:pt idx="2">
                  <c:v>0.447</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Victorian Senior Secondary Certificate (latest year)</a:t>
            </a:r>
          </a:p>
        </c:rich>
      </c:tx>
      <c:layout>
        <c:manualLayout>
          <c:xMode val="edge"/>
          <c:yMode val="edge"/>
          <c:x val="0.17478655767484105"/>
          <c:y val="0.0071301247771836"/>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901738845144358"/>
          <c:y val="0.15530026246719161"/>
          <c:w val="0.754875"/>
          <c:h val="0.59562030681993627"/>
        </c:manualLayout>
      </c:layout>
      <c:barChart>
        <c:barDir val="bar"/>
        <c:grouping val="clustered"/>
        <c:varyColors val="0"/>
        <c:ser>
          <c:idx val="1"/>
          <c:order val="0"/>
          <c:tx>
            <c:strRef>
              <c:f>Sheet1!$I$3:$I$5</c:f>
              <c:strCache>
                <c:ptCount val="3"/>
                <c:pt idx="0">
                  <c:v>School</c:v>
                </c:pt>
                <c:pt idx="1">
                  <c:v>Similar Schools</c:v>
                </c:pt>
                <c:pt idx="2">
                  <c:v>State</c:v>
                </c:pt>
              </c:strCache>
            </c:strRef>
          </c:tx>
          <c:spPr>
            <a:solidFill>
              <a:schemeClr val="accent2"/>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Sheet1!$I$3:$I$5</c:f>
              <c:strCache>
                <c:ptCount val="3"/>
                <c:pt idx="0">
                  <c:v>School</c:v>
                </c:pt>
                <c:pt idx="1">
                  <c:v>Similar Schools</c:v>
                </c:pt>
                <c:pt idx="2">
                  <c:v>State</c:v>
                </c:pt>
              </c:strCache>
            </c:strRef>
          </c:cat>
          <c:val>
            <c:numRef>
              <c:f>Sheet1!$J$3:$J$5</c:f>
              <c:numCache>
                <c:formatCode>0.0%</c:formatCode>
                <c:ptCount val="3"/>
                <c:pt idx="0">
                  <c:v>0.962962</c:v>
                </c:pt>
                <c:pt idx="1">
                  <c:v>0.947558</c:v>
                </c:pt>
                <c:pt idx="2">
                  <c:v>0.965686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Completion Rate</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layout>
        <c:manualLayout>
          <c:xMode val="edge"/>
          <c:yMode val="edge"/>
          <c:x val="0.25420054200542"/>
          <c:y val="0.04060913705583756"/>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1530026246719161"/>
          <c:w val="0.75070833333333331"/>
          <c:h val="0.57034383202099737"/>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prisec!$D$174:$D$176</c:f>
              <c:numCache>
                <c:formatCode>0.0%</c:formatCode>
                <c:ptCount val="3"/>
                <c:pt idx="0">
                  <c:v>0.687545</c:v>
                </c:pt>
                <c:pt idx="1">
                  <c:v>0.428436</c:v>
                </c:pt>
                <c:pt idx="2">
                  <c:v>0.453036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layout>
        <c:manualLayout>
          <c:xMode val="edge"/>
          <c:yMode val="edge"/>
          <c:x val="0.2615598659923607"/>
          <c:y val="0.040000000000000008"/>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1557233917188923"/>
          <c:w val="0.75070833333333331"/>
          <c:h val="0.5700717767421928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prisec!$D$195:$D$197</c:f>
              <c:numCache>
                <c:formatCode>0.0%</c:formatCode>
                <c:ptCount val="3"/>
                <c:pt idx="0">
                  <c:v>0.703087</c:v>
                </c:pt>
                <c:pt idx="1">
                  <c:v>0.439585</c:v>
                </c:pt>
                <c:pt idx="2">
                  <c:v>0.46553</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7 to 12</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196692913385828"/>
          <c:w val="0.75070833333333331"/>
          <c:h val="0.5700717767421928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prisec!$C$131:$C$133</c:f>
              <c:numCache>
                <c:formatCode>0.0</c:formatCode>
                <c:ptCount val="3"/>
                <c:pt idx="0">
                  <c:v>34.333393</c:v>
                </c:pt>
                <c:pt idx="1">
                  <c:v>32.331823</c:v>
                </c:pt>
                <c:pt idx="2">
                  <c:v>28.364859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Retention (latest year)</a:t>
            </a:r>
          </a:p>
          <a:p>
            <a:pPr>
              <a:defRPr sz="900" b="1">
                <a:latin typeface="Arial" panose="020B0604020202020204" pitchFamily="34" charset="0"/>
              </a:defRPr>
            </a:pPr>
            <a:r>
              <a:rPr lang="en-AU" sz="900" b="1" i="0" baseline="0">
                <a:latin typeface="Arial" panose="020B0604020202020204" pitchFamily="34" charset="0"/>
              </a:rPr>
              <a:t>Year 7 to Year 10</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196692913385828"/>
          <c:w val="0.74001319353797357"/>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prisec!$B$142:$B$144</c:f>
              <c:numCache>
                <c:formatCode>0.0%</c:formatCode>
                <c:ptCount val="3"/>
                <c:pt idx="0">
                  <c:v>0.75</c:v>
                </c:pt>
                <c:pt idx="1">
                  <c:v>0.723</c:v>
                </c:pt>
                <c:pt idx="2">
                  <c:v>0.726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retained</a:t>
                </a:r>
              </a:p>
            </c:rich>
          </c:tx>
          <c:layout>
            <c:manualLayout>
              <c:xMode val="edge"/>
              <c:yMode val="edge"/>
              <c:x val="0.31955422684463913"/>
              <c:y val="0.893253797820727"/>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Exits (latest year)</a:t>
            </a:r>
          </a:p>
          <a:p>
            <a:pPr>
              <a:defRPr sz="900" b="1">
                <a:latin typeface="Arial" panose="020B0604020202020204" pitchFamily="34" charset="0"/>
              </a:defRPr>
            </a:pPr>
            <a:r>
              <a:rPr lang="en-AU" sz="900" b="1" i="0" baseline="0">
                <a:latin typeface="Arial" panose="020B0604020202020204" pitchFamily="34" charset="0"/>
              </a:rPr>
              <a:t>Years 10 to 12</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5070833333333331"/>
          <c:h val="0.55090098887769579"/>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prisec!$B$153:$B$155</c:f>
              <c:numCache>
                <c:formatCode>0.0%</c:formatCode>
                <c:ptCount val="3"/>
                <c:pt idx="0">
                  <c:v>0.781</c:v>
                </c:pt>
                <c:pt idx="1">
                  <c:v>0.867</c:v>
                </c:pt>
                <c:pt idx="2">
                  <c:v>0.895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of students with positive destinations</a:t>
                </a:r>
              </a:p>
            </c:rich>
          </c:tx>
          <c:layout>
            <c:manualLayout>
              <c:xMode val="edge"/>
              <c:yMode val="edge"/>
              <c:x val="0.18459218273391506"/>
              <c:y val="0.88995240640611828"/>
            </c:manualLayout>
          </c:layout>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0.77</c:v>
                </c:pt>
                <c:pt idx="1">
                  <c:v>0.572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7 to 10</a:t>
            </a:r>
          </a:p>
        </c:rich>
      </c:tx>
      <c:layout>
        <c:manualLayout>
          <c:xMode val="edge"/>
          <c:yMode val="edge"/>
          <c:x val="0.39169637043451411"/>
          <c:y val="0.04"/>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906397889522121"/>
          <c:y val="0.20863359580052493"/>
          <c:w val="0.7067493673265266"/>
          <c:h val="0.55701049868766406"/>
        </c:manualLayout>
      </c:layout>
      <c:barChart>
        <c:barDir val="bar"/>
        <c:grouping val="clustered"/>
        <c:varyColors val="0"/>
        <c:ser>
          <c:idx val="0"/>
          <c:order val="0"/>
          <c:tx>
            <c:strRef>
              <c:f>prisec!$C$36</c:f>
              <c:strCache>
                <c:ptCount val="1"/>
                <c:pt idx="0">
                  <c:v>85.4%</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prisec!$C$36:$C$38</c:f>
              <c:numCache>
                <c:formatCode>0.0%</c:formatCode>
                <c:ptCount val="3"/>
                <c:pt idx="0">
                  <c:v>0.642</c:v>
                </c:pt>
                <c:pt idx="1">
                  <c:v>0.615</c:v>
                </c:pt>
                <c:pt idx="2">
                  <c:v>0.755</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6558229454054815"/>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7 to 10</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224385954313256"/>
          <c:y val="0.20863359580052493"/>
          <c:w val="0.7067493673265266"/>
          <c:h val="0.56367716535433066"/>
        </c:manualLayout>
      </c:layout>
      <c:barChart>
        <c:barDir val="bar"/>
        <c:grouping val="clustered"/>
        <c:varyColors val="0"/>
        <c:ser>
          <c:idx val="0"/>
          <c:order val="0"/>
          <c:tx>
            <c:strRef>
              <c:f>prisec!$C$58</c:f>
              <c:strCache>
                <c:ptCount val="1"/>
                <c:pt idx="0">
                  <c:v>72.1%</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prisec!$C$58:$C$60</c:f>
              <c:numCache>
                <c:formatCode>0.0%</c:formatCode>
                <c:ptCount val="3"/>
                <c:pt idx="0">
                  <c:v>0.813</c:v>
                </c:pt>
                <c:pt idx="1">
                  <c:v>0.53</c:v>
                </c:pt>
                <c:pt idx="2">
                  <c:v>0.682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at or above age expected level</a:t>
                </a:r>
              </a:p>
            </c:rich>
          </c:tx>
          <c:layout>
            <c:manualLayout>
              <c:xMode val="edge"/>
              <c:yMode val="edge"/>
              <c:x val="0.15535211551241518"/>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729373359580052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0.508</c:v>
                </c:pt>
                <c:pt idx="1">
                  <c:v>0.534</c:v>
                </c:pt>
                <c:pt idx="2">
                  <c:v>0.661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prisec!$C$99:$C$101</c:f>
              <c:numCache>
                <c:formatCode>0.0%</c:formatCode>
                <c:ptCount val="3"/>
                <c:pt idx="0">
                  <c:v>0.515</c:v>
                </c:pt>
                <c:pt idx="1">
                  <c:v>0.466</c:v>
                </c:pt>
                <c:pt idx="2">
                  <c:v>0.6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prisec!$F$89:$F$91</c:f>
              <c:numCache>
                <c:formatCode>0.0%</c:formatCode>
                <c:ptCount val="3"/>
                <c:pt idx="0">
                  <c:v>0.377</c:v>
                </c:pt>
                <c:pt idx="1">
                  <c:v>0.487</c:v>
                </c:pt>
                <c:pt idx="2">
                  <c:v>0.629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9</a:t>
            </a:r>
          </a:p>
        </c:rich>
      </c:tx>
      <c:layout>
        <c:manualLayout>
          <c:xMode val="edge"/>
          <c:yMode val="edge"/>
          <c:x val="0.25627066929133857"/>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prisec!$F$99:$F$101</c:f>
              <c:numCache>
                <c:formatCode>0.0%</c:formatCode>
                <c:ptCount val="3"/>
                <c:pt idx="0">
                  <c:v>0.339</c:v>
                </c:pt>
                <c:pt idx="1">
                  <c:v>0.428</c:v>
                </c:pt>
                <c:pt idx="2">
                  <c:v>0.599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a:latin typeface="Arial" panose="020B0604020202020204" pitchFamily="34" charset="0"/>
              </a:defRPr>
            </a:pPr>
            <a:r>
              <a:rPr lang="en-AU" sz="900" b="1" baseline="0">
                <a:latin typeface="Arial" panose="020B0604020202020204" pitchFamily="34" charset="0"/>
              </a:rPr>
              <a:t>Year 7</a:t>
            </a:r>
          </a:p>
        </c:rich>
      </c:tx>
      <c:layout>
        <c:manualLayout>
          <c:xMode val="edge"/>
          <c:yMode val="edge"/>
          <c:x val="0.2729373359580052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prisec!$C$89:$C$91</c:f>
              <c:numCache>
                <c:formatCode>0.0%</c:formatCode>
                <c:ptCount val="3"/>
                <c:pt idx="0">
                  <c:v>0.299</c:v>
                </c:pt>
                <c:pt idx="1">
                  <c:v>0.407</c:v>
                </c:pt>
                <c:pt idx="2">
                  <c:v>0.546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16</cp:revision>
  <dcterms:created xsi:type="dcterms:W3CDTF">2022-02-23T06:44:00Z</dcterms:created>
  <dcterms:modified xsi:type="dcterms:W3CDTF">2024-02-08T00:23:00Z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