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5.0.0 -->
  <w:body>
    <w:p w:rsidR="00B33DA4" w:rsidRPr="00C07804" w:rsidP="00B33DA4">
      <w:pPr>
        <w:ind w:left="540" w:right="1878"/>
        <w:rPr>
          <w:b/>
          <w:color w:val="AF272F"/>
          <w:sz w:val="44"/>
          <w:szCs w:val="44"/>
          <w:lang w:val="en-AU"/>
        </w:rPr>
      </w:pPr>
      <w:r w:rsidRPr="00C07804">
        <w:rPr>
          <w:b/>
          <w:noProof/>
          <w:color w:val="AF272F"/>
          <w:sz w:val="44"/>
          <w:szCs w:val="44"/>
          <w:lang w:val="en-AU"/>
        </w:rPr>
        <w:t>2024</w:t>
      </w:r>
      <w:r w:rsidRPr="00C07804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>
                <wp:simplePos x="0" y="0"/>
                <wp:positionH relativeFrom="margin">
                  <wp:posOffset>100965</wp:posOffset>
                </wp:positionH>
                <wp:positionV relativeFrom="bottomMargin">
                  <wp:posOffset>-1260475</wp:posOffset>
                </wp:positionV>
                <wp:extent cx="9774000" cy="1134000"/>
                <wp:effectExtent l="0" t="0" r="0" b="952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000" cy="11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DA4" w:rsidP="00B33DA4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Peter Langham (School Principal) on 18 December, 2023 at 02:19 PM</w:t>
                              <w:br/>
                              <w:t>Endorsed by Michael Devine (Senior Education Improvement Leader) on 18 January, 2024 at 12:28 PM</w:t>
                              <w:br/>
                              <w:t>Endorsed by Emma Boag (School Council President) on 07 February, 2024 at 11:45 AM</w:t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29pt;margin-left:7.95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1pt;z-index:-251658240" fillcolor="white" stroked="f" strokeweight="0.75pt">
                <v:stroke joinstyle="miter"/>
                <v:textbox>
                  <w:txbxContent>
                    <w:p w:rsidR="00B33DA4" w:rsidP="00B33DA4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Peter Langham (School Principal) on 18 December, 2023 at 02:19 PM</w:t>
                        <w:br/>
                        <w:t>Endorsed by Michael Devine (Senior Education Improvement Leader) on 18 January, 2024 at 12:28 PM</w:t>
                        <w:br/>
                        <w:t>Endorsed by Emma Boag (School Council President) on 07 February, 2024 at 11:45 AM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C07804">
        <w:rPr>
          <w:b/>
          <w:color w:val="AF272F"/>
          <w:sz w:val="44"/>
          <w:szCs w:val="44"/>
          <w:lang w:val="en-AU"/>
        </w:rPr>
        <w:t xml:space="preserve"> Annual Implementation Plan</w:t>
      </w:r>
    </w:p>
    <w:p w:rsidR="00B33DA4" w:rsidRPr="00C07804" w:rsidP="00B33DA4">
      <w:pPr>
        <w:ind w:left="540" w:right="1878"/>
        <w:rPr>
          <w:b/>
          <w:color w:val="AF272F"/>
          <w:sz w:val="28"/>
          <w:szCs w:val="44"/>
          <w:lang w:val="en-AU"/>
        </w:rPr>
      </w:pPr>
      <w:r w:rsidRPr="00C07804">
        <w:rPr>
          <w:b/>
          <w:color w:val="AF272F"/>
          <w:sz w:val="28"/>
          <w:szCs w:val="44"/>
          <w:lang w:val="en-AU"/>
        </w:rPr>
        <w:t xml:space="preserve">for improving student outcomes </w:t>
      </w:r>
    </w:p>
    <w:p w:rsidR="00B33DA4" w:rsidRPr="00C07804" w:rsidP="00B33DA4">
      <w:pPr>
        <w:ind w:left="540" w:right="1878"/>
        <w:rPr>
          <w:color w:val="AF272F"/>
          <w:sz w:val="22"/>
          <w:szCs w:val="36"/>
          <w:lang w:val="en-AU"/>
        </w:rPr>
      </w:pPr>
    </w:p>
    <w:p w:rsidR="00B33DA4" w:rsidRPr="00C07804" w:rsidP="00B33DA4">
      <w:pPr>
        <w:pStyle w:val="ESIntroParagraph"/>
        <w:ind w:left="-567" w:right="978" w:firstLine="1107"/>
        <w:rPr>
          <w:color w:val="595959" w:themeColor="text1" w:themeTint="A6"/>
          <w:lang w:val="en-AU"/>
        </w:rPr>
      </w:pPr>
      <w:r w:rsidRPr="00C07804">
        <w:rPr>
          <w:noProof/>
          <w:color w:val="595959" w:themeColor="text1" w:themeTint="A6"/>
          <w:lang w:val="en-AU"/>
        </w:rPr>
        <w:t>Monterey Secondary College (8809)</w:t>
      </w: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IntroParagraph"/>
        <w:ind w:left="-567" w:right="4330" w:firstLine="1107"/>
        <w:rPr>
          <w:color w:val="AF272F"/>
          <w:lang w:val="en-AU"/>
        </w:rPr>
      </w:pPr>
    </w:p>
    <w:p w:rsidR="00B33DA4" w:rsidRPr="00C07804" w:rsidP="00B33DA4">
      <w:pPr>
        <w:pStyle w:val="ESBodyText"/>
        <w:rPr>
          <w:lang w:val="en-AU"/>
        </w:rPr>
      </w:pPr>
    </w:p>
    <w:p w:rsidR="00B33DA4" w:rsidRPr="00C07804" w:rsidP="00B33DA4">
      <w:pPr>
        <w:pStyle w:val="ESBodyText"/>
        <w:jc w:val="center"/>
        <w:rPr>
          <w:lang w:val="en-AU"/>
        </w:rPr>
      </w:pPr>
      <w:r w:rsidRPr="00C07804">
        <w:rPr>
          <w:noProof/>
          <w:sz w:val="44"/>
          <w:szCs w:val="44"/>
          <w:lang w:val="en-AU"/>
        </w:rPr>
        <w:drawing>
          <wp:anchor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391373" cy="3810532"/>
            <wp:wrapNone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DA4" w:rsidRPr="00C07804" w:rsidP="00B33DA4">
      <w:pPr>
        <w:pStyle w:val="ESBodyText"/>
        <w:rPr>
          <w:lang w:val="en-AU"/>
        </w:rPr>
      </w:pPr>
    </w:p>
    <w:p w:rsidR="00C703C5" w:rsidRPr="00C07804" w:rsidP="00F83BD4">
      <w:pPr>
        <w:ind w:right="2759"/>
        <w:rPr>
          <w:lang w:val="en-AU"/>
        </w:rPr>
        <w:sectPr w:rsidSect="002B1BCB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004" w:right="737" w:bottom="1304" w:left="561" w:header="624" w:footer="1134" w:gutter="0"/>
          <w:pgNumType w:start="1"/>
          <w:cols w:space="397"/>
          <w:docGrid w:linePitch="360"/>
        </w:sectPr>
      </w:pPr>
    </w:p>
    <w:p w:rsidR="006307C3" w:rsidRPr="009B5728" w:rsidP="005157E3">
      <w:pPr>
        <w:ind w:left="-450" w:right="2759"/>
        <w:rPr>
          <w:b/>
          <w:color w:val="AF272F"/>
          <w:sz w:val="36"/>
          <w:szCs w:val="44"/>
          <w:lang w:val="en-AU"/>
        </w:rPr>
      </w:pPr>
      <w:r w:rsidRPr="009B5728">
        <w:rPr>
          <w:b/>
          <w:color w:val="AF272F"/>
          <w:sz w:val="36"/>
          <w:szCs w:val="44"/>
          <w:lang w:val="en-AU"/>
        </w:rPr>
        <w:t xml:space="preserve">Self-evaluation </w:t>
      </w:r>
      <w:r w:rsidRPr="009B5728" w:rsidR="003A0A90">
        <w:rPr>
          <w:b/>
          <w:color w:val="AF272F"/>
          <w:sz w:val="36"/>
          <w:szCs w:val="44"/>
          <w:lang w:val="en-AU"/>
        </w:rPr>
        <w:t>s</w:t>
      </w:r>
      <w:r w:rsidRPr="009B5728">
        <w:rPr>
          <w:b/>
          <w:color w:val="AF272F"/>
          <w:sz w:val="36"/>
          <w:szCs w:val="44"/>
          <w:lang w:val="en-AU"/>
        </w:rPr>
        <w:t>ummary</w:t>
      </w:r>
    </w:p>
    <w:p w:rsidR="00745153" w:rsidRPr="009B5728" w:rsidP="00715EBF">
      <w:pPr>
        <w:pStyle w:val="ESIntroParagraph"/>
        <w:ind w:left="-450" w:right="4330" w:firstLine="450"/>
        <w:rPr>
          <w:color w:val="auto"/>
          <w:sz w:val="18"/>
          <w:szCs w:val="18"/>
          <w:lang w:val="en-AU"/>
        </w:rPr>
      </w:pPr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97"/>
        <w:gridCol w:w="6457"/>
        <w:gridCol w:w="6966"/>
      </w:tblGrid>
      <w:tr w:rsidTr="00DB592D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515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6022" w:rsidRPr="009B5728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bookmarkStart w:id="0" w:name="_Hlk147390785"/>
          </w:p>
        </w:tc>
        <w:tc>
          <w:tcPr>
            <w:tcW w:w="6457" w:type="dxa"/>
            <w:shd w:val="clear" w:color="auto" w:fill="D9D9D9" w:themeFill="background1" w:themeFillShade="D9"/>
          </w:tcPr>
          <w:p>
            <w:r>
              <w:rPr>
                <w:rFonts w:ascii="Arial" w:eastAsia="Arial" w:hAnsi="Arial" w:cs="Arial"/>
                <w:b/>
                <w:color w:val="auto"/>
                <w:sz w:val="22"/>
              </w:rPr>
              <w:t>FISO 2.0 Dimensions</w:t>
            </w:r>
          </w:p>
        </w:tc>
        <w:tc>
          <w:tcPr>
            <w:tcW w:w="6966" w:type="dxa"/>
            <w:shd w:val="clear" w:color="auto" w:fill="D9D9D9" w:themeFill="background1" w:themeFillShade="D9"/>
          </w:tcPr>
          <w:p w:rsidR="007A6022" w:rsidRPr="009B5728" w:rsidP="000F7465">
            <w:pPr>
              <w:pStyle w:val="Heading3"/>
              <w:spacing w:before="0" w:after="0"/>
              <w:ind w:right="-374"/>
              <w:rPr>
                <w:szCs w:val="24"/>
                <w:lang w:val="en-AU"/>
              </w:rPr>
            </w:pPr>
            <w:r w:rsidRPr="009B5728">
              <w:rPr>
                <w:szCs w:val="24"/>
                <w:lang w:val="en-AU"/>
              </w:rPr>
              <w:t xml:space="preserve">Self-evaluation </w:t>
            </w:r>
            <w:r w:rsidRPr="009B5728" w:rsidR="003A0A90">
              <w:rPr>
                <w:szCs w:val="24"/>
                <w:lang w:val="en-AU"/>
              </w:rPr>
              <w:t>l</w:t>
            </w:r>
            <w:r w:rsidRPr="009B5728">
              <w:rPr>
                <w:szCs w:val="24"/>
                <w:lang w:val="en-AU"/>
              </w:rPr>
              <w:t>evel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FD062"/>
          </w:tcPr>
          <w:p w:rsidR="00446D10" w:rsidRPr="009B5728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Leadership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6966" w:type="dxa"/>
            <w:vMerge w:val="restart"/>
            <w:vAlign w:val="center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Evolving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200"/>
        </w:trPr>
        <w:tc>
          <w:tcPr>
            <w:tcW w:w="1697" w:type="dxa"/>
            <w:vMerge/>
            <w:shd w:val="clear" w:color="auto" w:fill="FFD062"/>
          </w:tcPr>
          <w:p w:rsidR="00446D10" w:rsidRPr="009B5728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Shared development of a culture of respect and collaboration with positive and supportive relationships between students and staff at the core</w:t>
            </w:r>
          </w:p>
        </w:tc>
        <w:tc>
          <w:tcPr>
            <w:tcW w:w="6966" w:type="dxa"/>
            <w:vMerge/>
          </w:tcPr>
          <w:p w:rsidR="00446D10" w:rsidRPr="009B5728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 w:rsidR="006E1708" w:rsidRPr="009B5728" w:rsidP="006E1708">
      <w:pPr>
        <w:pStyle w:val="ESBodyText"/>
        <w:rPr>
          <w:lang w:val="en-AU"/>
        </w:rPr>
      </w:pPr>
      <w:bookmarkEnd w:id="0"/>
    </w:p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97"/>
        <w:gridCol w:w="6457"/>
        <w:gridCol w:w="6966"/>
      </w:tblGrid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8BFBD"/>
          </w:tcPr>
          <w:p w:rsidR="00446D10" w:rsidRPr="009B5728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Teaching and learning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Documented teaching and learning program based on the Victorian Curriculum and senior secondary pathways, incorporating extra-curricula programs</w:t>
            </w:r>
          </w:p>
        </w:tc>
        <w:tc>
          <w:tcPr>
            <w:tcW w:w="6966" w:type="dxa"/>
            <w:vMerge w:val="restart"/>
            <w:vAlign w:val="center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Evolving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200"/>
        </w:trPr>
        <w:tc>
          <w:tcPr>
            <w:tcW w:w="1697" w:type="dxa"/>
            <w:vMerge/>
            <w:shd w:val="clear" w:color="auto" w:fill="58BFBD"/>
          </w:tcPr>
          <w:p w:rsidR="00446D10" w:rsidRPr="009B5728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Use of common and subject-specific high impact teaching and learning strategies as part of a shared and responsive teaching and learning model implemented through positive and supportive student-staff relationships</w:t>
            </w:r>
          </w:p>
        </w:tc>
        <w:tc>
          <w:tcPr>
            <w:tcW w:w="6966" w:type="dxa"/>
            <w:vMerge/>
          </w:tcPr>
          <w:p w:rsidR="00446D10" w:rsidRPr="009B5728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97"/>
        <w:gridCol w:w="6457"/>
        <w:gridCol w:w="6966"/>
      </w:tblGrid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57B5E7"/>
          </w:tcPr>
          <w:p w:rsidR="00446D10" w:rsidRPr="009B5728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Assessment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Systematic use of data and evidence to drive the prioritisation, development, and implementation of actions in schools and classrooms.</w:t>
            </w:r>
          </w:p>
        </w:tc>
        <w:tc>
          <w:tcPr>
            <w:tcW w:w="6966" w:type="dxa"/>
            <w:vMerge w:val="restart"/>
            <w:vAlign w:val="center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Evolving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200"/>
        </w:trPr>
        <w:tc>
          <w:tcPr>
            <w:tcW w:w="1697" w:type="dxa"/>
            <w:vMerge/>
            <w:shd w:val="clear" w:color="auto" w:fill="57B5E7"/>
          </w:tcPr>
          <w:p w:rsidR="00446D10" w:rsidRPr="009B5728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Systematic use of assessment strategies and measurement practices to obtain and provide feedback on student learning growth, attainment and wellbeing capabilities</w:t>
            </w:r>
          </w:p>
        </w:tc>
        <w:tc>
          <w:tcPr>
            <w:tcW w:w="6966" w:type="dxa"/>
            <w:vMerge/>
          </w:tcPr>
          <w:p w:rsidR="00446D10" w:rsidRPr="009B5728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97"/>
        <w:gridCol w:w="6457"/>
        <w:gridCol w:w="6966"/>
      </w:tblGrid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F8CDDB"/>
          </w:tcPr>
          <w:p w:rsidR="00446D10" w:rsidRPr="009B5728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Engagement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Strong relationships and active partnerships between schools and families/carers, communities, and organisations to strengthen students’ participation and  engagement in school</w:t>
            </w:r>
          </w:p>
        </w:tc>
        <w:tc>
          <w:tcPr>
            <w:tcW w:w="6966" w:type="dxa"/>
            <w:vMerge w:val="restart"/>
            <w:vAlign w:val="center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Evolving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200"/>
        </w:trPr>
        <w:tc>
          <w:tcPr>
            <w:tcW w:w="1697" w:type="dxa"/>
            <w:vMerge/>
            <w:shd w:val="clear" w:color="auto" w:fill="F8CDDB"/>
          </w:tcPr>
          <w:p w:rsidR="00446D10" w:rsidRPr="009B5728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Activation of student voice and agency, including in leadership and learning, to strengthen students’ participation and engagement in school</w:t>
            </w:r>
          </w:p>
        </w:tc>
        <w:tc>
          <w:tcPr>
            <w:tcW w:w="6966" w:type="dxa"/>
            <w:vMerge/>
          </w:tcPr>
          <w:p w:rsidR="00446D10" w:rsidRPr="009B5728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97"/>
        <w:gridCol w:w="6457"/>
        <w:gridCol w:w="6966"/>
      </w:tblGrid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101"/>
        </w:trPr>
        <w:tc>
          <w:tcPr>
            <w:tcW w:w="1697" w:type="dxa"/>
            <w:vMerge w:val="restart"/>
            <w:tcBorders>
              <w:right w:val="single" w:sz="4" w:space="0" w:color="auto"/>
            </w:tcBorders>
            <w:shd w:val="clear" w:color="auto" w:fill="D2ACD0"/>
          </w:tcPr>
          <w:p w:rsidR="00446D10" w:rsidRPr="009B5728" w:rsidP="00363D8E">
            <w:pPr>
              <w:rPr>
                <w:b/>
                <w:bCs/>
                <w:color w:val="53565A"/>
                <w:sz w:val="24"/>
                <w:szCs w:val="24"/>
                <w:lang w:val="en-AU"/>
              </w:rPr>
            </w:pPr>
            <w:r w:rsidRPr="009B5728">
              <w:rPr>
                <w:b/>
                <w:bCs/>
                <w:color w:val="000000"/>
                <w:sz w:val="24"/>
                <w:szCs w:val="24"/>
                <w:lang w:val="en-AU"/>
              </w:rPr>
              <w:t>Support and resources</w:t>
            </w: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Responsive, tiered and contextualised approaches and strong relationships to support student learning, wellbeing and inclusion</w:t>
            </w:r>
          </w:p>
        </w:tc>
        <w:tc>
          <w:tcPr>
            <w:tcW w:w="6966" w:type="dxa"/>
            <w:vMerge w:val="restart"/>
            <w:vAlign w:val="center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Evolving</w:t>
            </w:r>
          </w:p>
        </w:tc>
      </w:tr>
      <w:tr w:rsidTr="007D6A36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cantSplit/>
          <w:trHeight w:val="200"/>
        </w:trPr>
        <w:tc>
          <w:tcPr>
            <w:tcW w:w="1697" w:type="dxa"/>
            <w:vMerge/>
            <w:shd w:val="clear" w:color="auto" w:fill="D2ACD0"/>
          </w:tcPr>
          <w:p w:rsidR="00446D10" w:rsidRPr="009B5728" w:rsidP="00581393">
            <w:pPr>
              <w:pStyle w:val="Heading4"/>
              <w:shd w:val="clear" w:color="auto" w:fill="62BFEB"/>
              <w:spacing w:before="150" w:after="150"/>
              <w:ind w:left="113" w:right="113"/>
              <w:jc w:val="center"/>
              <w:rPr>
                <w:rFonts w:ascii="Arial" w:hAnsi="Arial" w:cs="Arial"/>
                <w:b/>
                <w:bCs/>
                <w:color w:val="53565A"/>
                <w:sz w:val="24"/>
                <w:szCs w:val="24"/>
                <w:lang w:val="en-AU"/>
              </w:rPr>
            </w:pPr>
          </w:p>
        </w:tc>
        <w:tc>
          <w:tcPr>
            <w:tcW w:w="6457" w:type="dxa"/>
            <w:tcBorders>
              <w:left w:val="single" w:sz="4" w:space="0" w:color="auto"/>
            </w:tcBorders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>Effective use of resources and active partnerships with families/carers, specialist providers and community organisations to provide responsive support to students</w:t>
            </w:r>
          </w:p>
        </w:tc>
        <w:tc>
          <w:tcPr>
            <w:tcW w:w="6966" w:type="dxa"/>
            <w:vMerge/>
          </w:tcPr>
          <w:p w:rsidR="00446D10" w:rsidRPr="009B5728" w:rsidP="00581393">
            <w:pPr>
              <w:pStyle w:val="ESBodyText"/>
              <w:rPr>
                <w:sz w:val="20"/>
                <w:lang w:val="en-AU"/>
              </w:rPr>
            </w:pPr>
          </w:p>
        </w:tc>
      </w:tr>
    </w:tbl>
    <w:p/>
    <w:tbl>
      <w:tblPr>
        <w:tblStyle w:val="TableGrid"/>
        <w:tblW w:w="1512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905"/>
        <w:gridCol w:w="11215"/>
      </w:tblGrid>
      <w:tr w:rsidTr="00A84052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3905" w:type="dxa"/>
            <w:shd w:val="clear" w:color="auto" w:fill="D9D9D9" w:themeFill="background1" w:themeFillShade="D9"/>
          </w:tcPr>
          <w:p>
            <w:r>
              <w:rPr>
                <w:rFonts w:ascii="Arial" w:eastAsia="Arial" w:hAnsi="Arial" w:cs="Arial"/>
                <w:b/>
                <w:color w:val="auto"/>
                <w:sz w:val="22"/>
              </w:rPr>
              <w:t>Future planning</w:t>
            </w:r>
          </w:p>
        </w:tc>
        <w:tc>
          <w:tcPr>
            <w:tcW w:w="11215" w:type="dxa"/>
          </w:tcPr>
          <w:p>
            <w:r>
              <w:rPr>
                <w:rFonts w:ascii="Arial" w:eastAsia="Arial" w:hAnsi="Arial" w:cs="Arial"/>
                <w:b w:val="0"/>
                <w:color w:val="auto"/>
                <w:sz w:val="22"/>
              </w:rPr>
              <w:t xml:space="preserve">Overall, as a leadership team, we're happy with the gains that we've made in 2023. </w:t>
              <w:br/>
              <w:br/>
              <w:t xml:space="preserve">Particularly when considering the current school climate with staff shortages, increasing dysregulation in students and increased school refusal. The community climate, with food and housing security issues, worsens matters. </w:t>
              <w:br/>
              <w:br/>
              <w:t xml:space="preserve">Despite this, the view at Monterey SC and more broadly is that we're system leaders in trauma-informed, positive education and in engaging complex students whilst managing their barriers to learning. </w:t>
              <w:br/>
              <w:br/>
              <w:t>With two years of fully on-site learning since the last covid-lockdown, we've also embedded a new culture and expectations, we have new routines and programs which are now being refined and reworked rather than being built from scratch as they had been in previous years.</w:t>
            </w:r>
          </w:p>
        </w:tc>
      </w:tr>
      <w:tr w:rsidTr="00A84052">
        <w:tblPrEx>
          <w:tblW w:w="1512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28"/>
        </w:trPr>
        <w:tc>
          <w:tcPr>
            <w:tcW w:w="3905" w:type="dxa"/>
            <w:shd w:val="clear" w:color="auto" w:fill="D9D9D9" w:themeFill="background1" w:themeFillShade="D9"/>
          </w:tcPr>
          <w:p w:rsidR="00687FB5" w:rsidRPr="009B5728" w:rsidP="00687FB5">
            <w:pPr>
              <w:pStyle w:val="ESBodyText"/>
              <w:rPr>
                <w:b/>
                <w:sz w:val="20"/>
                <w:lang w:val="en-AU"/>
              </w:rPr>
            </w:pPr>
            <w:r w:rsidRPr="009B5728">
              <w:rPr>
                <w:b/>
                <w:sz w:val="20"/>
                <w:lang w:val="en-AU"/>
              </w:rPr>
              <w:t>Documents that support this plan</w:t>
            </w:r>
          </w:p>
        </w:tc>
        <w:tc>
          <w:tcPr>
            <w:tcW w:w="11215" w:type="dxa"/>
          </w:tcPr>
          <w:p w:rsidR="00687FB5" w:rsidRPr="009B5728" w:rsidP="00EE49B9">
            <w:pPr>
              <w:pStyle w:val="ESBodyText"/>
              <w:rPr>
                <w:sz w:val="20"/>
                <w:lang w:val="en-AU"/>
              </w:rPr>
            </w:pPr>
          </w:p>
        </w:tc>
      </w:tr>
    </w:tbl>
    <w:p w:rsidR="00C703C5" w:rsidRPr="009B5728" w:rsidP="004E7357">
      <w:pPr>
        <w:pStyle w:val="ESBodyText"/>
        <w:rPr>
          <w:lang w:val="en-AU"/>
        </w:rPr>
        <w:sectPr w:rsidSect="00B2115D">
          <w:headerReference w:type="even" r:id="rId14"/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145C6B" w:rsidRPr="00041607" w:rsidP="00CC45E0">
      <w:pPr>
        <w:pStyle w:val="ESIntroParagraph"/>
        <w:ind w:left="-567" w:right="1168" w:firstLine="27"/>
        <w:rPr>
          <w:b/>
          <w:color w:val="AF272F"/>
          <w:sz w:val="32"/>
          <w:szCs w:val="32"/>
          <w:lang w:val="en-AU"/>
        </w:rPr>
      </w:pPr>
      <w:r w:rsidRPr="00041607">
        <w:rPr>
          <w:b/>
          <w:color w:val="AF272F"/>
          <w:sz w:val="32"/>
          <w:szCs w:val="32"/>
          <w:lang w:val="en-AU"/>
        </w:rPr>
        <w:t xml:space="preserve">Select </w:t>
      </w:r>
      <w:r w:rsidRPr="00041607" w:rsidR="00FB15E2">
        <w:rPr>
          <w:b/>
          <w:color w:val="AF272F"/>
          <w:sz w:val="32"/>
          <w:szCs w:val="32"/>
          <w:lang w:val="en-AU"/>
        </w:rPr>
        <w:t>a</w:t>
      </w:r>
      <w:r w:rsidRPr="00041607">
        <w:rPr>
          <w:b/>
          <w:color w:val="AF272F"/>
          <w:sz w:val="32"/>
          <w:szCs w:val="32"/>
          <w:lang w:val="en-AU"/>
        </w:rPr>
        <w:t xml:space="preserve">nnual </w:t>
      </w:r>
      <w:r w:rsidRPr="00041607" w:rsidR="00FB15E2">
        <w:rPr>
          <w:b/>
          <w:color w:val="AF272F"/>
          <w:sz w:val="32"/>
          <w:szCs w:val="32"/>
          <w:lang w:val="en-AU"/>
        </w:rPr>
        <w:t>g</w:t>
      </w:r>
      <w:r w:rsidRPr="00041607">
        <w:rPr>
          <w:b/>
          <w:color w:val="AF272F"/>
          <w:sz w:val="32"/>
          <w:szCs w:val="32"/>
          <w:lang w:val="en-AU"/>
        </w:rPr>
        <w:t>oals and KIS</w:t>
      </w:r>
    </w:p>
    <w:p w:rsidR="00312C54" w:rsidRPr="00041607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589"/>
        <w:gridCol w:w="1457"/>
        <w:gridCol w:w="6219"/>
        <w:gridCol w:w="3945"/>
      </w:tblGrid>
      <w:tr w:rsidTr="000100BE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783"/>
        </w:trPr>
        <w:tc>
          <w:tcPr>
            <w:tcW w:w="3589" w:type="dxa"/>
            <w:shd w:val="clear" w:color="auto" w:fill="D9D9D9" w:themeFill="background1" w:themeFillShade="D9"/>
          </w:tcPr>
          <w:p w:rsidR="00B06A30" w:rsidRPr="00041607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Four</w:t>
            </w:r>
            <w:r w:rsidRPr="00041607" w:rsidR="00FB15E2">
              <w:rPr>
                <w:lang w:val="en-AU"/>
              </w:rPr>
              <w:t>-y</w:t>
            </w:r>
            <w:r w:rsidRPr="00041607">
              <w:rPr>
                <w:lang w:val="en-AU"/>
              </w:rPr>
              <w:t xml:space="preserve">ear </w:t>
            </w:r>
            <w:r w:rsidRPr="00041607" w:rsidR="00FB15E2">
              <w:rPr>
                <w:lang w:val="en-AU"/>
              </w:rPr>
              <w:t>s</w:t>
            </w:r>
            <w:r w:rsidRPr="00041607">
              <w:rPr>
                <w:lang w:val="en-AU"/>
              </w:rPr>
              <w:t xml:space="preserve">trategic </w:t>
            </w:r>
            <w:r w:rsidRPr="00041607" w:rsidR="00FB15E2">
              <w:rPr>
                <w:lang w:val="en-AU"/>
              </w:rPr>
              <w:t>g</w:t>
            </w:r>
            <w:r w:rsidRPr="00041607">
              <w:rPr>
                <w:lang w:val="en-AU"/>
              </w:rPr>
              <w:t>oals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B06A30" w:rsidRPr="00041607" w:rsidP="00B06A30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Is this selected for focus this year?</w:t>
            </w:r>
          </w:p>
          <w:p w:rsidR="00B06A30" w:rsidRPr="00041607" w:rsidP="00DA66C8">
            <w:pPr>
              <w:pStyle w:val="Heading3"/>
              <w:spacing w:before="100" w:beforeAutospacing="1" w:after="0"/>
              <w:rPr>
                <w:lang w:val="en-AU"/>
              </w:rPr>
            </w:pPr>
          </w:p>
        </w:tc>
        <w:tc>
          <w:tcPr>
            <w:tcW w:w="6219" w:type="dxa"/>
            <w:shd w:val="clear" w:color="auto" w:fill="D9D9D9" w:themeFill="background1" w:themeFillShade="D9"/>
          </w:tcPr>
          <w:p w:rsidR="00B06A30" w:rsidRPr="00041607" w:rsidP="00DA66C8">
            <w:pPr>
              <w:spacing w:before="100" w:beforeAutospacing="1" w:after="0"/>
              <w:rPr>
                <w:color w:val="000000" w:themeColor="text1"/>
                <w:sz w:val="20"/>
                <w:lang w:val="en-AU"/>
              </w:rPr>
            </w:pPr>
            <w:r w:rsidRPr="00041607">
              <w:rPr>
                <w:b/>
                <w:lang w:val="en-AU"/>
              </w:rPr>
              <w:t>Four</w:t>
            </w:r>
            <w:r w:rsidRPr="00041607" w:rsidR="00FB15E2">
              <w:rPr>
                <w:b/>
                <w:lang w:val="en-AU"/>
              </w:rPr>
              <w:t>-y</w:t>
            </w:r>
            <w:r w:rsidRPr="00041607">
              <w:rPr>
                <w:b/>
                <w:lang w:val="en-AU"/>
              </w:rPr>
              <w:t xml:space="preserve">ear </w:t>
            </w:r>
            <w:r w:rsidRPr="00041607" w:rsidR="00FB15E2">
              <w:rPr>
                <w:b/>
                <w:lang w:val="en-AU"/>
              </w:rPr>
              <w:t>s</w:t>
            </w:r>
            <w:r w:rsidRPr="00041607">
              <w:rPr>
                <w:b/>
                <w:lang w:val="en-AU"/>
              </w:rPr>
              <w:t xml:space="preserve">trategic </w:t>
            </w:r>
            <w:r w:rsidRPr="00041607" w:rsidR="00FB15E2">
              <w:rPr>
                <w:b/>
                <w:lang w:val="en-AU"/>
              </w:rPr>
              <w:t>t</w:t>
            </w:r>
            <w:r w:rsidRPr="00041607">
              <w:rPr>
                <w:b/>
                <w:lang w:val="en-AU"/>
              </w:rPr>
              <w:t>argets</w:t>
            </w:r>
          </w:p>
        </w:tc>
        <w:tc>
          <w:tcPr>
            <w:tcW w:w="3945" w:type="dxa"/>
            <w:shd w:val="clear" w:color="auto" w:fill="D9D9D9" w:themeFill="background1" w:themeFillShade="D9"/>
          </w:tcPr>
          <w:p w:rsidR="00B06A30" w:rsidRPr="00041607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lang w:val="en-AU"/>
              </w:rPr>
              <w:t>12</w:t>
            </w:r>
            <w:r w:rsidRPr="00041607" w:rsidR="00FB15E2">
              <w:rPr>
                <w:lang w:val="en-AU"/>
              </w:rPr>
              <w:t>-</w:t>
            </w:r>
            <w:r w:rsidRPr="00041607">
              <w:rPr>
                <w:lang w:val="en-AU"/>
              </w:rPr>
              <w:t>month target</w:t>
            </w:r>
          </w:p>
          <w:p w:rsidR="00B06A30" w:rsidRPr="00041607" w:rsidP="00DA66C8">
            <w:pPr>
              <w:pStyle w:val="Heading3"/>
              <w:spacing w:before="100" w:beforeAutospacing="1" w:after="0"/>
              <w:rPr>
                <w:lang w:val="en-AU"/>
              </w:rPr>
            </w:pP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The 12</w:t>
            </w:r>
            <w:r w:rsidRPr="00041607" w:rsidR="00FB15E2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-</w:t>
            </w:r>
            <w:r w:rsidRPr="00041607">
              <w:rPr>
                <w:b w:val="0"/>
                <w:sz w:val="18"/>
                <w:shd w:val="clear" w:color="auto" w:fill="D9D9D9" w:themeFill="background1" w:themeFillShade="D9"/>
                <w:lang w:val="en-AU"/>
              </w:rPr>
              <w:t>month target is an incremental step towards meeting the 4-year target, using the same data set.</w:t>
            </w: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</w:rPr>
              <w:t>Priorities goal</w:t>
            </w:r>
            <w:r w:rsidRPr="00041607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</w:rPr>
              <w:br/>
            </w: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  <w:tc>
          <w:tcPr>
            <w:tcW w:w="1457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Yes</w:t>
            </w: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Support for the priorities</w:t>
            </w: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KIS 1a LEARNINGAction:Learning - Support both those who need scaffolding and those who have thrived to continue to extend their learning, especially in numeracy-The percentage of students in NAPLAN Numeracy proficiencies for Strong or Exceeding will increase (**modified FGG Target due to NAPLAN changes)-The percentage of students in NAPLAN Numeracy proficiencies for Needs Assistance will decrease (**modified FGG Target due to NAPLAN changes)-SSS factors: instructional leadership and collective efficacy to maintain or increase-AtoSS factors: stimulated learning and advocate at school to maintain or increase-AtoSS Stimulated Learning &gt; 60% Positive Endorsement (FGG Target)-SSS Guaranteed and Viable Curriculum &gt; 60% Positive Endorsement (FGG Target)KIS 1b WELLBEINGAction:Wellbeing - Effectively mobilise available resources to support students' wellbeing and mental health, especially the most vulnerable-Meet or exceed similar schools AtoSS Emotional Factors: Sense of Connectedness, Psychological distress, Resilience and Emotional Awareness and Regulation-Meet or exceed similar schools SSS Factors Instructional Leadership, Collective Efficacy and Trust in Colleagues- Reduction in chronic absences</w:t>
            </w: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 xml:space="preserve">Improve learning achievement and growth for all students in literacy and numeracy. </w:t>
            </w:r>
          </w:p>
        </w:tc>
        <w:tc>
          <w:tcPr>
            <w:tcW w:w="1457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No</w:t>
            </w: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NAPLAN benchmark growth years 7-9</w:t>
            </w:r>
          </w:p>
          <w:p w:rsidR="00B06A30" w:rsidRPr="00041607" w:rsidP="00BB23C7">
            <w:pPr>
              <w:pStyle w:val="ESBodyText"/>
              <w:numPr>
                <w:ilvl w:val="0"/>
                <w:numId w:val="18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By 2025, increase the percentage of students meeting or above benchmark growth in reading from 68% (Av. 2018- 2021) to 75% or more (including above benchmark growth from 21% (Av. 2018 - 2021) to 25% or more each year) </w:t>
            </w:r>
          </w:p>
          <w:p w:rsidR="00B06A30" w:rsidRPr="00041607" w:rsidP="00BB23C7">
            <w:pPr>
              <w:pStyle w:val="ESBodyText"/>
              <w:numPr>
                <w:ilvl w:val="0"/>
                <w:numId w:val="18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By 2025, increase the percentage of students meeting or above benchmark growth in writing from 64% (Av. 2018-2021) to 75% or more (including above benchmark growth from 15% (Av. 2018-2021) to 25% or more each year)</w:t>
            </w:r>
          </w:p>
          <w:p w:rsidR="00B06A30" w:rsidRPr="00041607" w:rsidP="00BB23C7">
            <w:pPr>
              <w:pStyle w:val="ESBodyText"/>
              <w:numPr>
                <w:ilvl w:val="0"/>
                <w:numId w:val="18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By 2025, increase the percentage of students meeting or above benchmark growth in numeracy from 78% (2021) to 80% or more (including above benchmark growth from 23% (2021) to 25% or more each year)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NAPLAN – Middle 2 bands and top 2 bands (combined) - Year 9 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1.2.1 By 2025, increase the percentage of students achieving in the middle two and top two NAPLAN bands (combined) in reading from 57% (Av. 2018-2021) to 65% or above (including from 4% to 10% in the top two bands)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1.2.2 By 2025, increase the percentage of students achieving in the middle two and top two NAPLAN bands (combined) in writing from 39% (Av. 2018-2021) to 65% or above (including from 2% to 10% in the top two bands)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1.2.3 By 2025, increase the percentage of students achieving in the middle two and top two NAPLAN bands (combined) in numeracy from 69% (Av. 2018- 2021) to 75% or above (including from 5% to 10% in the top two bands)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Teacher judgement growth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By 2025, increase the percentage of students in each Year level (7-10) above expected growth in reading from Av. 2018-2021 data each year to the following:</w:t>
            </w:r>
          </w:p>
          <w:p w:rsidR="00B06A30" w:rsidRPr="00041607" w:rsidP="00BB23C7">
            <w:pPr>
              <w:pStyle w:val="ESBodyText"/>
              <w:numPr>
                <w:ilvl w:val="0"/>
                <w:numId w:val="19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7: From 25%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19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8: From 38%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19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9: From 21%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19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10: From 33% to 55%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By 2025, increase the percentage of students in each Year level (7-10) above expected growth in writing from Av. 2018-2021 data each year to the following:</w:t>
            </w:r>
          </w:p>
          <w:p w:rsidR="00B06A30" w:rsidRPr="00041607" w:rsidP="00BB23C7">
            <w:pPr>
              <w:pStyle w:val="ESBodyText"/>
              <w:numPr>
                <w:ilvl w:val="0"/>
                <w:numId w:val="20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7: From 43% to 60%</w:t>
            </w:r>
          </w:p>
          <w:p w:rsidR="00B06A30" w:rsidRPr="00041607" w:rsidP="00BB23C7">
            <w:pPr>
              <w:pStyle w:val="ESBodyText"/>
              <w:numPr>
                <w:ilvl w:val="0"/>
                <w:numId w:val="20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8: From 30%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20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9: From 21%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20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10: From 33% to 55%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1.3.3 By 2025, increase the percentage of students in each Year level (7-10) above expected growth in number from Av. 2018-2021 data and algebra each year to the following:</w:t>
            </w:r>
          </w:p>
          <w:p w:rsidR="00B06A30" w:rsidRPr="00041607" w:rsidP="00BB23C7">
            <w:pPr>
              <w:pStyle w:val="ESBodyText"/>
              <w:numPr>
                <w:ilvl w:val="0"/>
                <w:numId w:val="21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7: From 46% to 60%</w:t>
            </w:r>
          </w:p>
          <w:p w:rsidR="00B06A30" w:rsidRPr="00041607" w:rsidP="00BB23C7">
            <w:pPr>
              <w:pStyle w:val="ESBodyText"/>
              <w:numPr>
                <w:ilvl w:val="0"/>
                <w:numId w:val="21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8: From 50% to 60%</w:t>
            </w:r>
          </w:p>
          <w:p w:rsidR="00B06A30" w:rsidRPr="00041607" w:rsidP="00BB23C7">
            <w:pPr>
              <w:pStyle w:val="ESBodyText"/>
              <w:numPr>
                <w:ilvl w:val="0"/>
                <w:numId w:val="21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9: From 33% to 55%</w:t>
            </w:r>
          </w:p>
          <w:p w:rsidR="00B06A30" w:rsidRPr="00041607" w:rsidP="00BB23C7">
            <w:pPr>
              <w:pStyle w:val="ESBodyText"/>
              <w:numPr>
                <w:ilvl w:val="0"/>
                <w:numId w:val="21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Year 10: From 22% to 55%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From 2022 to 2025 increase the percentage of students completing the VCE from 94% (Av. 2018-2021) to 95% or more.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VCAL / VCE Vocational major completion rates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From 2022 to 2025 increase the percentage of students completing the VCAL / VCE Vocational major from 80% (Av. 2018-2021) to 85% or more.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VET completion rates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From 2022 to 2025 increase the percentage of students completing VET from 73% (Av. 2018-2021) to 80% or more.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Build student engagement and ownership of their learning.</w:t>
            </w:r>
          </w:p>
        </w:tc>
        <w:tc>
          <w:tcPr>
            <w:tcW w:w="1457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No</w:t>
            </w: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Attitudes to School Survey (AToSS)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Increase the percentage of positive responses (Year 7-12) to the following by 2025:</w:t>
            </w:r>
          </w:p>
          <w:p w:rsidR="00B06A30" w:rsidRPr="00041607" w:rsidP="00BB23C7">
            <w:pPr>
              <w:pStyle w:val="ESBodyText"/>
              <w:numPr>
                <w:ilvl w:val="0"/>
                <w:numId w:val="22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Stimulated learning from 56% (Av. 2018- 2021) to 70%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2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Student voice and agency from 46% (Av. 2018- 2021) to 65%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2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Self-regulation and goal setting from 59% (Av. 2018- 2021) to 70%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2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Sense of confidence from 59% (Av. 2018- 2021) to 70%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2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Managing bullying from 54% (Av. 2018- 2021) to 65% or more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School Staff Survey (SSS)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Increase the percentage positive endorsement each year to 2025 of the following factors: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School climate module:</w:t>
            </w:r>
          </w:p>
          <w:p w:rsidR="00B06A30" w:rsidRPr="00041607" w:rsidP="00BB23C7">
            <w:pPr>
              <w:pStyle w:val="ESBodyText"/>
              <w:numPr>
                <w:ilvl w:val="0"/>
                <w:numId w:val="23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Collective efficacy from 36% (Av. 2018- 2021) to 65% or more </w:t>
            </w:r>
          </w:p>
          <w:p w:rsidR="00B06A30" w:rsidRPr="00041607" w:rsidP="00BB23C7">
            <w:pPr>
              <w:pStyle w:val="ESBodyText"/>
              <w:numPr>
                <w:ilvl w:val="0"/>
                <w:numId w:val="23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Academic emphasis from 32% (Av. 2018- 2021) to 60% or more  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School leadership module:</w:t>
            </w:r>
          </w:p>
          <w:p w:rsidR="00B06A30" w:rsidRPr="00041607" w:rsidP="00BB23C7">
            <w:pPr>
              <w:pStyle w:val="ESBodyText"/>
              <w:numPr>
                <w:ilvl w:val="0"/>
                <w:numId w:val="24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Instructional leadership from 69% (Av. 2018- 2021) to 75% or more 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Teaching and learning module factors:</w:t>
            </w:r>
          </w:p>
          <w:p w:rsidR="00B06A30" w:rsidRPr="00041607" w:rsidP="00BB23C7">
            <w:pPr>
              <w:pStyle w:val="ESBodyText"/>
              <w:numPr>
                <w:ilvl w:val="0"/>
                <w:numId w:val="25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Professional learning through peer observation from 47% (Av. 2018- 2021) to 75% or more </w:t>
            </w:r>
          </w:p>
          <w:p w:rsidR="00B06A30" w:rsidRPr="00041607" w:rsidP="00BB23C7">
            <w:pPr>
              <w:pStyle w:val="ESBodyText"/>
              <w:numPr>
                <w:ilvl w:val="0"/>
                <w:numId w:val="25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Use student feedback to improve practice from 59% (Av. 2018- 2021) to 70% or more </w:t>
            </w:r>
          </w:p>
          <w:p w:rsidR="00B06A30" w:rsidRPr="00041607" w:rsidP="00BB23C7">
            <w:pPr>
              <w:pStyle w:val="ESBodyText"/>
              <w:numPr>
                <w:ilvl w:val="0"/>
                <w:numId w:val="25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Understand how to analyse data from 48% (Av. 2018- 2021) to 70% or more </w:t>
            </w:r>
          </w:p>
          <w:p w:rsidR="00B06A30" w:rsidRPr="00041607" w:rsidP="00BB23C7">
            <w:pPr>
              <w:pStyle w:val="ESBodyText"/>
              <w:numPr>
                <w:ilvl w:val="0"/>
                <w:numId w:val="25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Promote student ownership of learning from 65% (Av. 2018- 2021) to 80% or more 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Student absence: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Reduce the number of students absent for 20 days or more each year (2022-2025) from 46% (average 2018-2021) to less than 30% by 2025.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Strengthen student wellbeing and community engagement.</w:t>
            </w:r>
          </w:p>
        </w:tc>
        <w:tc>
          <w:tcPr>
            <w:tcW w:w="1457" w:type="dxa"/>
            <w:vMerge w:val="restart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No</w:t>
            </w: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AToSS Survey 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Increase the percentage of positive responses (Year 7-12) each year from Av 2018-2021 data to 2025 to the following:</w:t>
            </w:r>
          </w:p>
          <w:p w:rsidR="00B06A30" w:rsidRPr="00041607" w:rsidP="00BB23C7">
            <w:pPr>
              <w:pStyle w:val="ESBodyText"/>
              <w:numPr>
                <w:ilvl w:val="0"/>
                <w:numId w:val="26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Sense of connectedness from 53% to 65% (Social engagement)</w:t>
            </w:r>
          </w:p>
          <w:p w:rsidR="00B06A30" w:rsidRPr="00041607" w:rsidP="00BB23C7">
            <w:pPr>
              <w:pStyle w:val="ESBodyText"/>
              <w:numPr>
                <w:ilvl w:val="0"/>
                <w:numId w:val="26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Emotional awareness and regulation from 73% (2021) to 75% (Emotional &amp; relational engagement)</w:t>
            </w:r>
          </w:p>
          <w:p w:rsidR="00B06A30" w:rsidRPr="00041607" w:rsidP="00BB23C7">
            <w:pPr>
              <w:pStyle w:val="ESBodyText"/>
              <w:numPr>
                <w:ilvl w:val="0"/>
                <w:numId w:val="26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Teacher concern from 50% to 70% (Teacher /student relations)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School Staff Survey (SSS)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 xml:space="preserve">Increase the percentage positive endorsement each year from Av 2018-2021 data to 2025 of the following factors: </w:t>
            </w:r>
          </w:p>
          <w:p w:rsidR="00B06A30" w:rsidRPr="00041607" w:rsidP="00BB23C7">
            <w:pPr>
              <w:pStyle w:val="ESBodyText"/>
              <w:numPr>
                <w:ilvl w:val="0"/>
                <w:numId w:val="27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Trust in students and parents from 29% to 60%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7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Parent and community engagement from 54% to 70% or more</w:t>
            </w:r>
          </w:p>
          <w:p w:rsidR="00B06A30" w:rsidRPr="00041607" w:rsidP="00BB23C7">
            <w:pPr>
              <w:pStyle w:val="ESBodyText"/>
              <w:numPr>
                <w:ilvl w:val="0"/>
                <w:numId w:val="27"/>
              </w:numPr>
              <w:spacing w:after="0"/>
              <w:ind w:left="720" w:hanging="201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000000"/>
                <w:sz w:val="22"/>
              </w:rPr>
              <w:t>Teacher collaboration from 50% to 75% or more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  <w:tr w:rsidTr="000F3492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83"/>
        </w:trPr>
        <w:tc>
          <w:tcPr>
            <w:tcW w:w="3589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1457" w:type="dxa"/>
            <w:vMerge/>
          </w:tcPr>
          <w:p w:rsidR="00B06A30" w:rsidRPr="00041607" w:rsidP="00BB23C7">
            <w:pPr>
              <w:pStyle w:val="ESBodyText"/>
              <w:spacing w:after="0"/>
              <w:rPr>
                <w:lang w:val="en-AU"/>
              </w:rPr>
            </w:pPr>
          </w:p>
        </w:tc>
        <w:tc>
          <w:tcPr>
            <w:tcW w:w="6219" w:type="dxa"/>
          </w:tcPr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Parent Opinion Survey:</w:t>
            </w:r>
          </w:p>
          <w:p w:rsidR="00B06A30" w:rsidRPr="00041607" w:rsidP="00BB23C7">
            <w:pPr>
              <w:pStyle w:val="ESBodyText"/>
              <w:spacing w:after="0"/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041607">
              <w:rPr>
                <w:rStyle w:val="DefaultParagraphFont"/>
                <w:rFonts w:ascii="Arial" w:eastAsia="Arial" w:hAnsi="Arial" w:cs="Arial"/>
                <w:color w:val="auto"/>
                <w:sz w:val="22"/>
              </w:rPr>
              <w:t>Increase the percentage of positive responses to Parent Community engagement (3 factors combined) from 60% from Av 2018-2021 data to 70% by 2025.</w:t>
            </w:r>
          </w:p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  <w:tc>
          <w:tcPr>
            <w:tcW w:w="3945" w:type="dxa"/>
          </w:tcPr>
          <w:p w:rsidR="00B06A30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lang w:val="en-AU"/>
              </w:rPr>
            </w:pPr>
          </w:p>
        </w:tc>
      </w:tr>
    </w:tbl>
    <w:p w:rsidR="003E4341" w:rsidRPr="00041607" w:rsidP="00BB23C7">
      <w:pPr>
        <w:pStyle w:val="ESBodyText"/>
        <w:spacing w:after="0"/>
        <w:rPr>
          <w:lang w:val="en-AU"/>
        </w:rPr>
      </w:pPr>
    </w:p>
    <w:p w:rsidR="00973DEE" w:rsidRPr="00041607" w:rsidP="004B6AD4">
      <w:pPr>
        <w:pStyle w:val="ESBodyText"/>
        <w:rPr>
          <w:lang w:val="en-AU"/>
        </w:rPr>
      </w:pPr>
    </w:p>
    <w:tbl>
      <w:tblPr>
        <w:tblStyle w:val="TableGrid"/>
        <w:tblW w:w="15210" w:type="dxa"/>
        <w:tblInd w:w="-54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772"/>
        <w:gridCol w:w="8250"/>
        <w:gridCol w:w="3188"/>
      </w:tblGrid>
      <w:tr w:rsidTr="00DA66C8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18"/>
        </w:trPr>
        <w:tc>
          <w:tcPr>
            <w:tcW w:w="3772" w:type="dxa"/>
            <w:shd w:val="clear" w:color="auto" w:fill="D9D9D9" w:themeFill="background1" w:themeFillShade="D9"/>
            <w:noWrap w:val="0"/>
          </w:tcPr>
          <w:p w:rsidR="00973DEE" w:rsidRPr="00041607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ascii="Arial" w:eastAsia="Arial" w:hAnsi="Arial" w:cs="Arial"/>
                <w:b/>
                <w:sz w:val="24"/>
                <w:lang w:val="en-AU"/>
              </w:rPr>
              <w:t>Goal 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</w:tcPr>
          <w:p w:rsidR="00973DEE" w:rsidRPr="00041607" w:rsidP="00BB23C7">
            <w:pPr>
              <w:pStyle w:val="ESBodyText"/>
              <w:spacing w:after="0"/>
              <w:rPr>
                <w:rFonts w:ascii="Arial" w:eastAsia="Arial" w:hAnsi="Arial" w:cs="Arial"/>
                <w:b/>
                <w:color w:val="auto"/>
                <w:sz w:val="22"/>
                <w:lang w:val="en-AU"/>
              </w:rPr>
            </w:pPr>
            <w:r w:rsidRPr="00041607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</w:rPr>
              <w:t>Priorities goal</w:t>
            </w:r>
            <w:r w:rsidRPr="00041607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</w:rPr>
              <w:br/>
            </w:r>
            <w:r w:rsidRPr="00041607">
              <w:rPr>
                <w:rStyle w:val="DefaultParagraphFont"/>
                <w:rFonts w:ascii="Arial" w:eastAsia="Arial" w:hAnsi="Arial" w:cs="Arial"/>
                <w:b/>
                <w:color w:val="auto"/>
                <w:sz w:val="22"/>
              </w:rPr>
              <w:t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 w:rsidTr="00DA66C8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3772" w:type="dxa"/>
            <w:shd w:val="clear" w:color="auto" w:fill="D9D9D9" w:themeFill="background1" w:themeFillShade="D9"/>
            <w:noWrap w:val="0"/>
          </w:tcPr>
          <w:p w:rsidR="00973DEE" w:rsidRPr="00041607" w:rsidP="00DA66C8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041607">
              <w:rPr>
                <w:rFonts w:ascii="Arial" w:eastAsia="Arial" w:hAnsi="Arial" w:cs="Arial"/>
                <w:sz w:val="22"/>
                <w:szCs w:val="24"/>
                <w:lang w:val="en-AU"/>
              </w:rPr>
              <w:t>12-month target 1.1</w:t>
            </w:r>
          </w:p>
        </w:tc>
        <w:tc>
          <w:tcPr>
            <w:tcW w:w="11438" w:type="dxa"/>
            <w:gridSpan w:val="2"/>
            <w:shd w:val="clear" w:color="auto" w:fill="D9D9D9" w:themeFill="background1" w:themeFillShade="D9"/>
            <w:noWrap w:val="0"/>
          </w:tcPr>
          <w:p w:rsidR="00973DEE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KIS 1a LEARNING</w:t>
              <w:br/>
              <w:t>Action:</w:t>
              <w:br/>
              <w:t>Learning - Support both those who need scaffolding and those who have thrived to continue to extend their learning, especially in numeracy</w:t>
              <w:br/>
              <w:br/>
              <w:t>-The percentage of students in NAPLAN Numeracy proficiencies for Strong or Exceeding will increase (**modified FGG Target due to NAPLAN changes)</w:t>
              <w:br/>
              <w:t>-The percentage of students in NAPLAN Numeracy proficiencies for Needs Assistance will decrease (**modified FGG Target due to NAPLAN changes)</w:t>
              <w:br/>
              <w:t>-SSS factors: instructional leadership and collective efficacy to maintain or increase</w:t>
              <w:br/>
              <w:t>-AtoSS factors: stimulated learning and advocate at school to maintain or increase</w:t>
              <w:br/>
              <w:t>-AtoSS Stimulated Learning &gt; 60% Positive Endorsement (FGG Target)</w:t>
              <w:br/>
              <w:t>-SSS Guaranteed and Viable Curriculum &gt; 60% Positive Endorsement (FGG Target)</w:t>
              <w:br/>
              <w:br/>
              <w:t>KIS 1b WELLBEING</w:t>
              <w:br/>
              <w:t>Action:</w:t>
              <w:br/>
              <w:t>Wellbeing - Effectively mobilise available resources to support students' wellbeing and mental health, especially the most vulnerable</w:t>
              <w:br/>
              <w:br/>
              <w:t>-Meet or exceed similar schools AtoSS Emotional Factors: Sense of Connectedness, Psychological distress, Resilience and Emotional Awareness and Regulation</w:t>
              <w:br/>
              <w:t>-Meet or exceed similar schools SSS Factors Instructional Leadership, Collective Efficacy and Trust in Colleagues</w:t>
              <w:br/>
              <w:t>- Reduction in chronic absences</w:t>
              <w:br/>
            </w:r>
          </w:p>
        </w:tc>
      </w:tr>
      <w:tr w:rsidTr="00A800BE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12022" w:type="dxa"/>
            <w:gridSpan w:val="2"/>
            <w:shd w:val="clear" w:color="auto" w:fill="D9D9D9" w:themeFill="background1" w:themeFillShade="D9"/>
          </w:tcPr>
          <w:p w:rsidR="00DB56D4" w:rsidRPr="00041607" w:rsidP="00BB23C7">
            <w:pPr>
              <w:pStyle w:val="ESBodyText"/>
              <w:spacing w:after="0"/>
              <w:rPr>
                <w:b/>
                <w:sz w:val="20"/>
                <w:szCs w:val="20"/>
                <w:lang w:val="en-AU"/>
              </w:rPr>
            </w:pPr>
            <w:r w:rsidRPr="00041607">
              <w:rPr>
                <w:b/>
                <w:sz w:val="20"/>
                <w:szCs w:val="20"/>
                <w:lang w:val="en-AU"/>
              </w:rPr>
              <w:t>Key Improvement Strategies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Is this KIS selected for focus this year?</w:t>
            </w:r>
          </w:p>
        </w:tc>
      </w:tr>
      <w:tr w:rsidTr="00CE0F0F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76"/>
        </w:trPr>
        <w:tc>
          <w:tcPr>
            <w:tcW w:w="3772" w:type="dxa"/>
            <w:shd w:val="clear" w:color="auto" w:fill="FFFFFF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ascii="Arial" w:eastAsia="Arial" w:hAnsi="Arial" w:cs="Arial"/>
                <w:b/>
                <w:sz w:val="22"/>
                <w:szCs w:val="20"/>
                <w:lang w:val="en-AU"/>
              </w:rPr>
              <w:t>KIS 1.a</w:t>
            </w:r>
          </w:p>
        </w:tc>
        <w:tc>
          <w:tcPr>
            <w:tcW w:w="8250" w:type="dxa"/>
            <w:shd w:val="clear" w:color="auto" w:fill="FFFFFF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Learning - Support both those who need scaffolding and those who have thrived to continue to extend their learning, especially in numeracy</w:t>
            </w:r>
          </w:p>
        </w:tc>
        <w:tc>
          <w:tcPr>
            <w:tcW w:w="3188" w:type="dxa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Yes</w:t>
            </w:r>
          </w:p>
        </w:tc>
      </w:tr>
      <w:tr w:rsidTr="00CE0F0F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76"/>
        </w:trPr>
        <w:tc>
          <w:tcPr>
            <w:tcW w:w="3772" w:type="dxa"/>
            <w:shd w:val="clear" w:color="auto" w:fill="FFFFFF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rFonts w:ascii="Arial" w:eastAsia="Arial" w:hAnsi="Arial" w:cs="Arial"/>
                <w:b/>
                <w:sz w:val="22"/>
                <w:szCs w:val="20"/>
                <w:lang w:val="en-AU"/>
              </w:rPr>
              <w:t>KIS 1.b</w:t>
            </w:r>
          </w:p>
        </w:tc>
        <w:tc>
          <w:tcPr>
            <w:tcW w:w="8250" w:type="dxa"/>
            <w:shd w:val="clear" w:color="auto" w:fill="FFFFFF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Wellbeing - Effectively mobilise available resources to support students' wellbeing and mental health, especially the most vulnerable</w:t>
            </w:r>
          </w:p>
        </w:tc>
        <w:tc>
          <w:tcPr>
            <w:tcW w:w="3188" w:type="dxa"/>
            <w:noWrap w:val="0"/>
          </w:tcPr>
          <w:p w:rsidR="00DB56D4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Yes</w:t>
            </w:r>
          </w:p>
        </w:tc>
      </w:tr>
      <w:tr w:rsidTr="0001315D">
        <w:tblPrEx>
          <w:tblW w:w="15210" w:type="dxa"/>
          <w:tblInd w:w="-54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741"/>
        </w:trPr>
        <w:tc>
          <w:tcPr>
            <w:tcW w:w="3772" w:type="dxa"/>
            <w:shd w:val="clear" w:color="auto" w:fill="D9D9D9" w:themeFill="background1" w:themeFillShade="D9"/>
          </w:tcPr>
          <w:p w:rsidR="00BD3D7C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 w:rsidRPr="00041607">
              <w:rPr>
                <w:color w:val="000000"/>
                <w:lang w:val="en-AU"/>
              </w:rPr>
              <w:t>Explain why the school has selected this KIS as a focus for this year. Please make reference to the self-evaluation, relevant school data, the progress against School Strategic Plan (SSP) goals, targets, and the diagnosis of issues requiring particular attention.</w:t>
            </w:r>
          </w:p>
        </w:tc>
        <w:tc>
          <w:tcPr>
            <w:tcW w:w="11438" w:type="dxa"/>
            <w:gridSpan w:val="2"/>
            <w:noWrap w:val="0"/>
          </w:tcPr>
          <w:p w:rsidR="00BD3D7C" w:rsidRPr="00041607" w:rsidP="00BB23C7">
            <w:pPr>
              <w:pStyle w:val="ESBodyText"/>
              <w:spacing w:after="0"/>
              <w:rPr>
                <w:b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Please leave this field empty. Schools are not required to provide a rationale as this is in line with system priorities for 2024.</w:t>
            </w:r>
          </w:p>
        </w:tc>
      </w:tr>
    </w:tbl>
    <w:p w:rsidR="000A423E" w:rsidRPr="00041607" w:rsidP="004E7357">
      <w:pPr>
        <w:pStyle w:val="ESBodyText"/>
        <w:rPr>
          <w:lang w:val="en-AU"/>
        </w:rPr>
      </w:pPr>
    </w:p>
    <w:p>
      <w:pPr>
        <w:sectPr w:rsidSect="00CD3E4E">
          <w:headerReference w:type="even" r:id="rId18"/>
          <w:headerReference w:type="default" r:id="rId19"/>
          <w:footerReference w:type="default" r:id="rId20"/>
          <w:headerReference w:type="first" r:id="rId21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6307C3" w:rsidRPr="002F40EA" w:rsidP="006C7A56">
      <w:pPr>
        <w:ind w:right="-542"/>
        <w:rPr>
          <w:b/>
          <w:color w:val="AF272F"/>
          <w:sz w:val="32"/>
          <w:szCs w:val="32"/>
          <w:lang w:val="en-AU"/>
        </w:rPr>
      </w:pPr>
      <w:r w:rsidRPr="002F40EA">
        <w:rPr>
          <w:b/>
          <w:color w:val="AF272F"/>
          <w:sz w:val="32"/>
          <w:szCs w:val="32"/>
          <w:lang w:val="en-AU"/>
        </w:rPr>
        <w:t xml:space="preserve">Define </w:t>
      </w:r>
      <w:r w:rsidRPr="002F40EA" w:rsidR="00802D4E">
        <w:rPr>
          <w:b/>
          <w:color w:val="AF272F"/>
          <w:sz w:val="32"/>
          <w:szCs w:val="32"/>
          <w:lang w:val="en-AU"/>
        </w:rPr>
        <w:t>a</w:t>
      </w:r>
      <w:r w:rsidRPr="002F40EA" w:rsidR="00510C5D">
        <w:rPr>
          <w:b/>
          <w:color w:val="AF272F"/>
          <w:sz w:val="32"/>
          <w:szCs w:val="32"/>
          <w:lang w:val="en-AU"/>
        </w:rPr>
        <w:t xml:space="preserve">ctions, </w:t>
      </w:r>
      <w:r w:rsidRPr="002F40EA" w:rsidR="00802D4E">
        <w:rPr>
          <w:b/>
          <w:color w:val="AF272F"/>
          <w:sz w:val="32"/>
          <w:szCs w:val="32"/>
          <w:lang w:val="en-AU"/>
        </w:rPr>
        <w:t>o</w:t>
      </w:r>
      <w:r w:rsidRPr="002F40EA" w:rsidR="00510C5D">
        <w:rPr>
          <w:b/>
          <w:color w:val="AF272F"/>
          <w:sz w:val="32"/>
          <w:szCs w:val="32"/>
          <w:lang w:val="en-AU"/>
        </w:rPr>
        <w:t>utcomes</w:t>
      </w:r>
      <w:r w:rsidRPr="002F40EA" w:rsidR="00802D4E">
        <w:rPr>
          <w:b/>
          <w:color w:val="AF272F"/>
          <w:sz w:val="32"/>
          <w:szCs w:val="32"/>
          <w:lang w:val="en-AU"/>
        </w:rPr>
        <w:t>, success indicators</w:t>
      </w:r>
      <w:r w:rsidRPr="002F40EA" w:rsidR="00510C5D">
        <w:rPr>
          <w:b/>
          <w:color w:val="AF272F"/>
          <w:sz w:val="32"/>
          <w:szCs w:val="32"/>
          <w:lang w:val="en-AU"/>
        </w:rPr>
        <w:t xml:space="preserve"> and</w:t>
      </w:r>
      <w:r w:rsidRPr="002F40EA" w:rsidR="008846DA">
        <w:rPr>
          <w:b/>
          <w:color w:val="AF272F"/>
          <w:sz w:val="32"/>
          <w:szCs w:val="32"/>
          <w:lang w:val="en-AU"/>
        </w:rPr>
        <w:t xml:space="preserve"> </w:t>
      </w:r>
      <w:r w:rsidRPr="002F40EA" w:rsidR="00802D4E">
        <w:rPr>
          <w:b/>
          <w:color w:val="AF272F"/>
          <w:sz w:val="32"/>
          <w:szCs w:val="32"/>
          <w:lang w:val="en-AU"/>
        </w:rPr>
        <w:t>a</w:t>
      </w:r>
      <w:r w:rsidRPr="002F40EA" w:rsidR="00ED5CB1">
        <w:rPr>
          <w:b/>
          <w:color w:val="AF272F"/>
          <w:sz w:val="32"/>
          <w:szCs w:val="32"/>
          <w:lang w:val="en-AU"/>
        </w:rPr>
        <w:t>ctivities</w:t>
      </w:r>
    </w:p>
    <w:p w:rsidR="005539D1" w:rsidRPr="002F40EA" w:rsidP="00C259B6">
      <w:pPr>
        <w:pStyle w:val="ESIntroParagraph"/>
        <w:ind w:left="-567" w:right="4330" w:firstLine="567"/>
        <w:rPr>
          <w:color w:val="AF272F"/>
          <w:sz w:val="20"/>
          <w:szCs w:val="20"/>
          <w:lang w:val="en-AU"/>
        </w:rPr>
      </w:pPr>
    </w:p>
    <w:tbl>
      <w:tblPr>
        <w:tblStyle w:val="TableGrid"/>
        <w:tblW w:w="1511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3119"/>
        <w:gridCol w:w="3086"/>
        <w:gridCol w:w="3150"/>
        <w:gridCol w:w="1530"/>
        <w:gridCol w:w="2070"/>
        <w:gridCol w:w="2160"/>
      </w:tblGrid>
      <w:tr w:rsidTr="00FA4D4A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3119" w:type="dxa"/>
            <w:shd w:val="clear" w:color="auto" w:fill="D9D9D9" w:themeFill="background1" w:themeFillShade="D9"/>
            <w:noWrap w:val="0"/>
          </w:tcPr>
          <w:p w:rsidR="00973DEE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ascii="Arial" w:eastAsia="Arial" w:hAnsi="Arial" w:cs="Arial"/>
                <w:b/>
                <w:sz w:val="24"/>
                <w:szCs w:val="24"/>
                <w:lang w:val="en-AU"/>
              </w:rPr>
              <w:t>Goal 1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</w:tcPr>
          <w:p w:rsidR="00973DEE" w:rsidRPr="002F40EA" w:rsidP="00FE3D5C">
            <w:pPr>
              <w:pStyle w:val="ESBodyText"/>
              <w:spacing w:after="0"/>
              <w:rPr>
                <w:rFonts w:ascii="Arial" w:eastAsia="Arial" w:hAnsi="Arial" w:cs="Arial"/>
                <w:color w:val="auto"/>
                <w:sz w:val="22"/>
                <w:szCs w:val="24"/>
                <w:lang w:val="en-AU"/>
              </w:rPr>
            </w:pPr>
            <w:r w:rsidRPr="002F40EA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  <w:szCs w:val="24"/>
              </w:rPr>
              <w:t>Priorities goal</w:t>
            </w:r>
            <w:r w:rsidRPr="002F40EA">
              <w:rPr>
                <w:rStyle w:val="DefaultParagraphFont"/>
                <w:rFonts w:ascii="Arial" w:eastAsia="Arial" w:hAnsi="Arial" w:cs="Arial"/>
                <w:b/>
                <w:bCs/>
                <w:color w:val="auto"/>
                <w:sz w:val="22"/>
                <w:szCs w:val="24"/>
              </w:rPr>
              <w:br/>
            </w:r>
            <w:r w:rsidRPr="002F40EA">
              <w:rPr>
                <w:rStyle w:val="DefaultParagraphFont"/>
                <w:rFonts w:ascii="Arial" w:eastAsia="Arial" w:hAnsi="Arial" w:cs="Arial"/>
                <w:color w:val="auto"/>
                <w:sz w:val="22"/>
                <w:szCs w:val="24"/>
              </w:rPr>
              <w:t>In 2024 we will continue to focus on student learning - with an increased focus on numeracy - and student wellbeing through the priorities goal, a learning key improvement strategy and a wellbeing key improvement strategy.</w:t>
            </w:r>
          </w:p>
        </w:tc>
      </w:tr>
      <w:tr w:rsidTr="00FA4D4A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3119" w:type="dxa"/>
            <w:shd w:val="clear" w:color="auto" w:fill="D9D9D9" w:themeFill="background1" w:themeFillShade="D9"/>
            <w:noWrap w:val="0"/>
          </w:tcPr>
          <w:p w:rsidR="00973DEE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ascii="Arial" w:eastAsia="Arial" w:hAnsi="Arial" w:cs="Arial"/>
                <w:sz w:val="22"/>
                <w:szCs w:val="24"/>
                <w:lang w:val="en-AU"/>
              </w:rPr>
              <w:t>12-month target 1.1</w:t>
            </w:r>
            <w:r w:rsidRPr="002F40EA" w:rsidR="008415C6">
              <w:rPr>
                <w:szCs w:val="24"/>
                <w:lang w:val="en-AU"/>
              </w:rPr>
              <w:t xml:space="preserve"> </w:t>
            </w:r>
          </w:p>
        </w:tc>
        <w:tc>
          <w:tcPr>
            <w:tcW w:w="11996" w:type="dxa"/>
            <w:gridSpan w:val="5"/>
            <w:shd w:val="clear" w:color="auto" w:fill="D9D9D9" w:themeFill="background1" w:themeFillShade="D9"/>
            <w:noWrap w:val="0"/>
          </w:tcPr>
          <w:p w:rsidR="00973DEE" w:rsidRPr="002F40EA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KIS 1a LEARNING</w:t>
              <w:br/>
              <w:t>Action:</w:t>
              <w:br/>
              <w:t>Learning - Support both those who need scaffolding and those who have thrived to continue to extend their learning, especially in numeracy</w:t>
              <w:br/>
              <w:br/>
              <w:t>-The percentage of students in NAPLAN Numeracy proficiencies for Strong or Exceeding will increase (**modified FGG Target due to NAPLAN changes)</w:t>
              <w:br/>
              <w:t>-The percentage of students in NAPLAN Numeracy proficiencies for Needs Assistance will decrease (**modified FGG Target due to NAPLAN changes)</w:t>
              <w:br/>
              <w:t>-SSS factors: instructional leadership and collective efficacy to maintain or increase</w:t>
              <w:br/>
              <w:t>-AtoSS factors: stimulated learning and advocate at school to maintain or increase</w:t>
              <w:br/>
              <w:t>-AtoSS Stimulated Learning &gt; 60% Positive Endorsement (FGG Target)</w:t>
              <w:br/>
              <w:t>-SSS Guaranteed and Viable Curriculum &gt; 60% Positive Endorsement (FGG Target)</w:t>
              <w:br/>
              <w:br/>
              <w:t>KIS 1b WELLBEING</w:t>
              <w:br/>
              <w:t>Action:</w:t>
              <w:br/>
              <w:t>Wellbeing - Effectively mobilise available resources to support students' wellbeing and mental health, especially the most vulnerable</w:t>
              <w:br/>
              <w:br/>
              <w:t>-Meet or exceed similar schools AtoSS Emotional Factors: Sense of Connectedness, Psychological distress, Resilience and Emotional Awareness and Regulation</w:t>
              <w:br/>
              <w:t>-Meet or exceed similar schools SSS Factors Instructional Leadership, Collective Efficacy and Trust in Colleagues</w:t>
              <w:br/>
              <w:t>- Reduction in chronic absences</w:t>
              <w:br/>
            </w:r>
          </w:p>
        </w:tc>
      </w:tr>
      <w:tr w:rsidTr="00FA4D4A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3119" w:type="dxa"/>
            <w:shd w:val="clear" w:color="auto" w:fill="FFD062"/>
            <w:noWrap w:val="0"/>
          </w:tcPr>
          <w:p w:rsidR="00973DEE" w:rsidRPr="002F40EA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ascii="Arial" w:eastAsia="Arial" w:hAnsi="Arial" w:cs="Arial"/>
                <w:sz w:val="22"/>
                <w:szCs w:val="24"/>
                <w:lang w:val="en-AU"/>
              </w:rPr>
              <w:t>KIS 1.a</w:t>
            </w:r>
          </w:p>
          <w:p>
            <w:r>
              <w:rPr>
                <w:rFonts w:ascii="Arial" w:eastAsia="Arial" w:hAnsi="Arial" w:cs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  <w:noWrap w:val="0"/>
          </w:tcPr>
          <w:p w:rsidR="00973DEE" w:rsidRPr="002F40EA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Learning - Support both those who need scaffolding and those who have thrived to continue to extend their learning, especially in numeracy</w:t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:rsidR="003E1FC6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A whole school approach to writing will be developed, with sufficient training for staff. Embed the FNEP Numeracy strategy.</w:t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  <w:noWrap w:val="0"/>
          </w:tcPr>
          <w:p w:rsidR="00973DE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-Teachers will provide students with the opportunity to work at their level using differentiated resources</w:t>
              <w:br/>
              <w:t xml:space="preserve">-Teachers and leaders will establish intervention/small group tutoring programs </w:t>
              <w:br/>
              <w:t>-PLC/PLTs through the FNEP will meet to engage in reflective practice, evaluate and plan curriculum, assessments, lessons</w:t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171379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  <w:noWrap w:val="0"/>
          </w:tcPr>
          <w:p w:rsidR="00171379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 xml:space="preserve">-Evidence of communication with parents/carers/kin </w:t>
              <w:br/>
              <w:t xml:space="preserve">-Differentiated curriculum documents and evidence of student learning at different levels </w:t>
              <w:br/>
              <w:t xml:space="preserve">-Data used to identify students for tailored supports </w:t>
              <w:br/>
              <w:t>-Assessment data and student surveys from intervention groups</w:t>
              <w:br/>
              <w:t xml:space="preserve">-FNEP classroom observations and learning walks demonstrating use of strategies from professional learning </w:t>
              <w:br/>
              <w:t xml:space="preserve">-A documented FNEP assessment schedule and evidence of teachers inputting data and moderating assessments </w:t>
            </w:r>
          </w:p>
        </w:tc>
      </w:tr>
      <w:tr w:rsidTr="006C7A56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 w:rsidR="00802D4E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E1FC6" w:rsidRPr="002F40EA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 w:rsidR="00103446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 w:rsidR="00802D4E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Establish a process for collecting and monitoring school-wide data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 leadership 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 xml:space="preserve">Document plans for coaching/mentoring/observation 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Schedule and organise professional learning on strategies to support students with specific learning requirements throughout the year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Research evidence-based approaches to identifying students requiring individual and tailored support and establish criteria for use by staff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Disability inclusion coordinator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Sub school leader/s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FNEP AP and middle leaders network to collaborate to design the assessment schedule and FNEP meetings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1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Review the professional calendar and update to prioritise collaboration time in PLCs/PLTs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the updated Literacy Scope and Sequence with a focus on consistent approach to Writing.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Organise FNEP Learning Walks to observe staff practice.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 xml:space="preserve">Support MRPS and APS to introduce a consistent whole school approach to Writing.  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Learning through Domains to ensure AIP actions are regularly monitored and achieved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  <w:p/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Equity funding will be used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Disability Inclusion Tier 2 Funding will be used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Tr="00FA4D4A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5"/>
        </w:trPr>
        <w:tc>
          <w:tcPr>
            <w:tcW w:w="3119" w:type="dxa"/>
            <w:shd w:val="clear" w:color="auto" w:fill="FFD062"/>
            <w:noWrap w:val="0"/>
          </w:tcPr>
          <w:p w:rsidR="00973DEE" w:rsidRPr="002F40EA" w:rsidP="00171379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rFonts w:ascii="Arial" w:eastAsia="Arial" w:hAnsi="Arial" w:cs="Arial"/>
                <w:sz w:val="22"/>
                <w:szCs w:val="24"/>
                <w:lang w:val="en-AU"/>
              </w:rPr>
              <w:t>KIS 1.b</w:t>
            </w:r>
          </w:p>
          <w:p>
            <w:r>
              <w:rPr>
                <w:rFonts w:ascii="Arial" w:eastAsia="Arial" w:hAnsi="Arial" w:cs="Arial"/>
                <w:sz w:val="22"/>
              </w:rPr>
              <w:t>The strategic direction and deployment of resources to create and reflect shared goals and values; high expectations; and a positive, safe and orderly learning environment</w:t>
            </w:r>
          </w:p>
        </w:tc>
        <w:tc>
          <w:tcPr>
            <w:tcW w:w="11996" w:type="dxa"/>
            <w:gridSpan w:val="5"/>
            <w:shd w:val="clear" w:color="auto" w:fill="FFD062"/>
            <w:noWrap w:val="0"/>
          </w:tcPr>
          <w:p w:rsidR="00973DEE" w:rsidRPr="002F40EA" w:rsidP="00FE3D5C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Wellbeing - Effectively mobilise available resources to support students' wellbeing and mental health, especially the most vulnerable</w:t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63"/>
        </w:trPr>
        <w:tc>
          <w:tcPr>
            <w:tcW w:w="3119" w:type="dxa"/>
            <w:shd w:val="clear" w:color="auto" w:fill="D9D9D9" w:themeFill="background1" w:themeFillShade="D9"/>
          </w:tcPr>
          <w:p w:rsidR="003E1FC6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Actions</w:t>
            </w:r>
          </w:p>
        </w:tc>
        <w:tc>
          <w:tcPr>
            <w:tcW w:w="11996" w:type="dxa"/>
            <w:gridSpan w:val="5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the Trauma-Informed Positive Education (TIPE) across the school. Develop a community-based TIPE model across the FNEP.</w:t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973DEE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Outcomes</w:t>
            </w:r>
          </w:p>
        </w:tc>
        <w:tc>
          <w:tcPr>
            <w:tcW w:w="11996" w:type="dxa"/>
            <w:gridSpan w:val="5"/>
            <w:noWrap w:val="0"/>
          </w:tcPr>
          <w:p w:rsidR="00973DE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 xml:space="preserve">-Teachers will incorporate trauma informed practices in classes and model consistent routines </w:t>
              <w:br/>
              <w:t>-At-risk students will be identified and receive targeted support in a timely manner</w:t>
              <w:br/>
              <w:t>-Teachers, leaders and the FNEP school community will share a common understanding of the whole school approach to supporting physical, social, emotional, cultural and civic wellbeing</w:t>
              <w:br/>
            </w:r>
          </w:p>
        </w:tc>
      </w:tr>
      <w:tr w:rsidTr="005D3D69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:rsidR="00171379" w:rsidRPr="002F40EA" w:rsidP="00AF3BC2">
            <w:pPr>
              <w:pStyle w:val="ESBodyText"/>
              <w:spacing w:after="0"/>
              <w:rPr>
                <w:b/>
                <w:sz w:val="20"/>
                <w:szCs w:val="24"/>
                <w:lang w:val="en-AU"/>
              </w:rPr>
            </w:pPr>
            <w:r w:rsidRPr="002F40EA">
              <w:rPr>
                <w:b/>
                <w:sz w:val="20"/>
                <w:szCs w:val="24"/>
                <w:lang w:val="en-AU"/>
              </w:rPr>
              <w:t>Success Indicators</w:t>
            </w:r>
          </w:p>
        </w:tc>
        <w:tc>
          <w:tcPr>
            <w:tcW w:w="11996" w:type="dxa"/>
            <w:gridSpan w:val="5"/>
            <w:noWrap w:val="0"/>
          </w:tcPr>
          <w:p w:rsidR="00171379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-Documentation of referrals and communication processes regarding monitoring and escalating wellbeing concerns</w:t>
              <w:br/>
              <w:t>-Documentation of frameworks, policies or programs</w:t>
              <w:br/>
              <w:t xml:space="preserve">-Data used to identify students in need of targeted support </w:t>
              <w:br/>
              <w:t>-At-risk families identified and supported</w:t>
              <w:br/>
              <w:t>-Trauma-Informed, Positive Education promoted across the Frankston North community</w:t>
              <w:br/>
              <w:t>-FNEP Learning walks</w:t>
            </w:r>
          </w:p>
        </w:tc>
      </w:tr>
      <w:tr w:rsidTr="006C7A56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549"/>
        </w:trPr>
        <w:tc>
          <w:tcPr>
            <w:tcW w:w="6205" w:type="dxa"/>
            <w:gridSpan w:val="2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Activities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People </w:t>
            </w:r>
            <w:r w:rsidRPr="002F40EA" w:rsidR="00802D4E">
              <w:rPr>
                <w:szCs w:val="24"/>
                <w:lang w:val="en-AU"/>
              </w:rPr>
              <w:t>r</w:t>
            </w:r>
            <w:r w:rsidRPr="002F40EA">
              <w:rPr>
                <w:szCs w:val="24"/>
                <w:lang w:val="en-AU"/>
              </w:rPr>
              <w:t>esponsible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3E1FC6" w:rsidRPr="002F40EA" w:rsidP="00103446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 xml:space="preserve">Is this a </w:t>
            </w:r>
            <w:r w:rsidRPr="002F40EA" w:rsidR="00103446">
              <w:rPr>
                <w:szCs w:val="24"/>
                <w:lang w:val="en-AU"/>
              </w:rPr>
              <w:t>PL</w:t>
            </w:r>
            <w:r w:rsidRPr="002F40EA">
              <w:rPr>
                <w:szCs w:val="24"/>
                <w:lang w:val="en-AU"/>
              </w:rPr>
              <w:t xml:space="preserve"> </w:t>
            </w:r>
            <w:r w:rsidRPr="002F40EA" w:rsidR="00802D4E">
              <w:rPr>
                <w:szCs w:val="24"/>
                <w:lang w:val="en-AU"/>
              </w:rPr>
              <w:t>p</w:t>
            </w:r>
            <w:r w:rsidRPr="002F40EA">
              <w:rPr>
                <w:szCs w:val="24"/>
                <w:lang w:val="en-AU"/>
              </w:rPr>
              <w:t>riority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When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E1FC6" w:rsidRPr="002F40EA" w:rsidP="00FA4D4A">
            <w:pPr>
              <w:pStyle w:val="Heading3"/>
              <w:spacing w:before="0" w:after="0"/>
              <w:rPr>
                <w:szCs w:val="24"/>
                <w:lang w:val="en-AU"/>
              </w:rPr>
            </w:pPr>
            <w:r w:rsidRPr="002F40EA">
              <w:rPr>
                <w:szCs w:val="24"/>
                <w:lang w:val="en-AU"/>
              </w:rPr>
              <w:t>Activity cost and funding streams</w:t>
            </w:r>
          </w:p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extended school day activities that promote healthy habits and positive relationships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 leadership 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Research, identify and implement wellbeing programs to create classroom environments that promote positive mental health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SWPBS leader/team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Identify and schedule appropriate professional learning for teachers implementing wellbeing programs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SWPBS leader/team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Partner with non-for-profit groups and external support agencies to provide targeted student support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Leadership team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Establish protocols and processes to support at-risk students and check-in with families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Sub school leader/s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Within the FNEP TIPE team (Trauma-Informed, Positive Education) investigate professional learning opportunities, including subsequent sessions to determine impact and review actions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Mobilise human resources through equity and Tier 3 funding to support the most vulnerable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Sub school leader/s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Maintain clear referral processes, linked to the disability and inclusion model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Disability inclusion coordinator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the scope and sequence for the teaching of the Personal and Social General Capability (Respectful Relationships and Strengths based practice)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Curriculum co-ordinator (s)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Identify and apply for new students for Disability and Inclusion Profiling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Disability inclusion coordinator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and refine the Year 7 and new students intake process to support new student transition and increase enrolments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Sub school leader/s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Maintain and embed school processes for tracking attendance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Administration team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Sub school leader/s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Wellbeing through Sub Schools teams and the Wellbeing team to ensure AIP actions are regularly monitored and achieved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Principal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  <w:p/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Equity funding will be used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Disability Inclusion Tier 2 Funding will be used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Schools Mental Health Menu items will be used which may include DET funded or free items</w:t>
            </w:r>
          </w:p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TIPE FNEP team will monitor the FNEP TIPE Instructional Model to ensure consistency across schools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TIPE Team to participate in the Frankston North Wellbeing Community of Practice to build capacity within schools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Leadership team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  <w:tr w:rsidTr="00AF3BC2">
        <w:tblPrEx>
          <w:tblW w:w="1511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20"/>
        </w:trPr>
        <w:tc>
          <w:tcPr>
            <w:tcW w:w="6205" w:type="dxa"/>
            <w:gridSpan w:val="2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Participate in 6 FNEP joint staff meetings</w:t>
            </w:r>
          </w:p>
        </w:tc>
        <w:tc>
          <w:tcPr>
            <w:tcW w:w="315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All staff</w:t>
            </w:r>
          </w:p>
        </w:tc>
        <w:tc>
          <w:tcPr>
            <w:tcW w:w="1530" w:type="dxa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A9A9A9"/>
                <w:sz w:val="24"/>
              </w:rPr>
              <w:sym w:font="Wingdings" w:char="F0A8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PLP Priority</w:t>
            </w:r>
          </w:p>
        </w:tc>
        <w:tc>
          <w:tcPr>
            <w:tcW w:w="2070" w:type="dxa"/>
            <w:noWrap w:val="0"/>
          </w:tcPr>
          <w:p w:rsidR="0016685E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160" w:type="dxa"/>
            <w:noWrap w:val="0"/>
          </w:tcPr>
          <w:p w:rsidR="003E1FC6" w:rsidRPr="002F40EA" w:rsidP="00AF3BC2">
            <w:pPr>
              <w:pStyle w:val="ESBodyText"/>
              <w:spacing w:after="0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  <w:p/>
        </w:tc>
      </w:tr>
    </w:tbl>
    <w:p w:rsidR="006307C3" w:rsidRPr="002F40EA" w:rsidP="006C7A56">
      <w:pPr>
        <w:pStyle w:val="ESBodyText"/>
        <w:rPr>
          <w:lang w:val="en-AU"/>
        </w:rPr>
      </w:pPr>
    </w:p>
    <w:p>
      <w:pPr>
        <w:sectPr w:rsidSect="00E36291">
          <w:headerReference w:type="even" r:id="rId22"/>
          <w:headerReference w:type="default" r:id="rId23"/>
          <w:footerReference w:type="default" r:id="rId24"/>
          <w:headerReference w:type="first" r:id="rId25"/>
          <w:pgSz w:w="16838" w:h="11906" w:orient="landscape" w:code="9"/>
          <w:pgMar w:top="1304" w:right="2036" w:bottom="1240" w:left="810" w:header="624" w:footer="532" w:gutter="0"/>
          <w:pgNumType w:start="2"/>
          <w:cols w:space="397"/>
          <w:docGrid w:linePitch="360"/>
        </w:sectPr>
      </w:pPr>
    </w:p>
    <w:p w:rsidR="006307C3" w:rsidRPr="009B0ADA" w:rsidP="00404526">
      <w:pPr>
        <w:ind w:left="-540" w:right="2759"/>
        <w:rPr>
          <w:b/>
          <w:color w:val="AF272F"/>
          <w:sz w:val="32"/>
          <w:szCs w:val="32"/>
          <w:lang w:val="en-AU"/>
        </w:rPr>
      </w:pPr>
      <w:r w:rsidRPr="009B0ADA">
        <w:rPr>
          <w:b/>
          <w:color w:val="AF272F"/>
          <w:sz w:val="32"/>
          <w:szCs w:val="32"/>
          <w:lang w:val="en-AU"/>
        </w:rPr>
        <w:t xml:space="preserve">Funding </w:t>
      </w:r>
      <w:r w:rsidRPr="009B0ADA" w:rsidR="003D17D7">
        <w:rPr>
          <w:b/>
          <w:color w:val="AF272F"/>
          <w:sz w:val="32"/>
          <w:szCs w:val="32"/>
          <w:lang w:val="en-AU"/>
        </w:rPr>
        <w:t>p</w:t>
      </w:r>
      <w:r w:rsidRPr="009B0ADA">
        <w:rPr>
          <w:b/>
          <w:color w:val="AF272F"/>
          <w:sz w:val="32"/>
          <w:szCs w:val="32"/>
          <w:lang w:val="en-AU"/>
        </w:rPr>
        <w:t xml:space="preserve">lanner </w:t>
      </w:r>
    </w:p>
    <w:p w:rsidR="00DA3296" w:rsidRPr="009B0ADA" w:rsidP="00DA3296">
      <w:pPr>
        <w:pStyle w:val="ESSubheading1"/>
        <w:spacing w:after="120"/>
        <w:rPr>
          <w:lang w:val="en-AU"/>
        </w:rPr>
      </w:pPr>
      <w:bookmarkStart w:id="1" w:name="_Hlk85615081"/>
      <w:r w:rsidRPr="009B0ADA">
        <w:rPr>
          <w:lang w:val="en-AU"/>
        </w:rPr>
        <w:t xml:space="preserve">Summary of </w:t>
      </w:r>
      <w:r w:rsidRPr="009B0ADA" w:rsidR="001E7004">
        <w:rPr>
          <w:lang w:val="en-AU"/>
        </w:rPr>
        <w:t>b</w:t>
      </w:r>
      <w:r w:rsidRPr="009B0ADA">
        <w:rPr>
          <w:lang w:val="en-AU"/>
        </w:rPr>
        <w:t xml:space="preserve">udget and </w:t>
      </w:r>
      <w:r w:rsidRPr="009B0ADA" w:rsidR="001E7004">
        <w:rPr>
          <w:lang w:val="en-AU"/>
        </w:rPr>
        <w:t>a</w:t>
      </w:r>
      <w:r w:rsidRPr="009B0ADA">
        <w:rPr>
          <w:lang w:val="en-AU"/>
        </w:rPr>
        <w:t xml:space="preserve">llocated </w:t>
      </w:r>
      <w:r w:rsidRPr="009B0ADA" w:rsidR="001E7004">
        <w:rPr>
          <w:lang w:val="en-AU"/>
        </w:rPr>
        <w:t>f</w:t>
      </w:r>
      <w:r w:rsidRPr="009B0ADA">
        <w:rPr>
          <w:lang w:val="en-AU"/>
        </w:rPr>
        <w:t>unding</w:t>
      </w:r>
    </w:p>
    <w:tbl>
      <w:tblPr>
        <w:tblStyle w:val="TableGrid"/>
        <w:tblW w:w="15282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927"/>
        <w:gridCol w:w="3118"/>
        <w:gridCol w:w="3544"/>
        <w:gridCol w:w="2693"/>
      </w:tblGrid>
      <w:tr w:rsidTr="00821150">
        <w:tblPrEx>
          <w:tblW w:w="1528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18"/>
        </w:trPr>
        <w:tc>
          <w:tcPr>
            <w:tcW w:w="5927" w:type="dxa"/>
            <w:shd w:val="clear" w:color="auto" w:fill="D9D9D9" w:themeFill="background1" w:themeFillShade="D9"/>
          </w:tcPr>
          <w:p w:rsidR="001F61DE" w:rsidRPr="009B0ADA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bookmarkStart w:id="2" w:name="_Hlk85615051"/>
            <w:bookmarkEnd w:id="1"/>
            <w:r w:rsidRPr="009B0ADA">
              <w:rPr>
                <w:b/>
                <w:sz w:val="20"/>
                <w:szCs w:val="20"/>
                <w:lang w:val="en-AU"/>
              </w:rPr>
              <w:t xml:space="preserve">Summary of </w:t>
            </w:r>
            <w:r w:rsidRPr="009B0ADA" w:rsidR="00A5640D">
              <w:rPr>
                <w:b/>
                <w:sz w:val="20"/>
                <w:szCs w:val="20"/>
                <w:lang w:val="en-AU"/>
              </w:rPr>
              <w:t>b</w:t>
            </w:r>
            <w:r w:rsidRPr="009B0ADA">
              <w:rPr>
                <w:b/>
                <w:sz w:val="20"/>
                <w:szCs w:val="20"/>
                <w:lang w:val="en-AU"/>
              </w:rPr>
              <w:t>udget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1F61DE" w:rsidRPr="009B0ADA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School’s total funding</w:t>
            </w:r>
            <w:r w:rsidRPr="009B0ADA" w:rsidR="00747ADA">
              <w:rPr>
                <w:b/>
                <w:sz w:val="20"/>
                <w:szCs w:val="20"/>
                <w:lang w:val="en-AU"/>
              </w:rPr>
              <w:t xml:space="preserve"> ($)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1F61DE" w:rsidRPr="009B0ADA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Funding </w:t>
            </w:r>
            <w:r w:rsidRPr="009B0ADA" w:rsidR="00A5640D">
              <w:rPr>
                <w:b/>
                <w:sz w:val="20"/>
                <w:szCs w:val="20"/>
                <w:lang w:val="en-AU"/>
              </w:rPr>
              <w:t>a</w:t>
            </w:r>
            <w:r w:rsidRPr="009B0ADA">
              <w:rPr>
                <w:b/>
                <w:sz w:val="20"/>
                <w:szCs w:val="20"/>
                <w:lang w:val="en-AU"/>
              </w:rPr>
              <w:t>llocated in activities</w:t>
            </w:r>
            <w:r w:rsidRPr="009B0ADA">
              <w:rPr>
                <w:b/>
                <w:sz w:val="20"/>
                <w:szCs w:val="20"/>
                <w:lang w:val="en-AU"/>
              </w:rPr>
              <w:t xml:space="preserve"> ($)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F61DE" w:rsidRPr="009B0ADA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Still available/shortfall</w:t>
            </w:r>
          </w:p>
        </w:tc>
      </w:tr>
      <w:tr w:rsidTr="00821150">
        <w:tblPrEx>
          <w:tblW w:w="1528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18"/>
        </w:trPr>
        <w:tc>
          <w:tcPr>
            <w:tcW w:w="5927" w:type="dxa"/>
          </w:tcPr>
          <w:p w:rsidR="001F61DE" w:rsidRPr="009B0ADA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Equity Funding</w:t>
            </w:r>
          </w:p>
        </w:tc>
        <w:tc>
          <w:tcPr>
            <w:tcW w:w="3118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$957,650.20</w:t>
            </w:r>
          </w:p>
        </w:tc>
        <w:tc>
          <w:tcPr>
            <w:tcW w:w="3544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$1,000,000.00</w:t>
            </w:r>
          </w:p>
        </w:tc>
        <w:tc>
          <w:tcPr>
            <w:tcW w:w="2693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-$42,349.80</w:t>
            </w:r>
          </w:p>
        </w:tc>
      </w:tr>
      <w:tr w:rsidTr="00821150">
        <w:tblPrEx>
          <w:tblW w:w="1528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18"/>
        </w:trPr>
        <w:tc>
          <w:tcPr>
            <w:tcW w:w="5927" w:type="dxa"/>
          </w:tcPr>
          <w:p w:rsidR="001F61DE" w:rsidRPr="009B0ADA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Disability Inclusion Tier 2 Funding</w:t>
            </w:r>
          </w:p>
        </w:tc>
        <w:tc>
          <w:tcPr>
            <w:tcW w:w="3118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$218,905.11</w:t>
            </w:r>
          </w:p>
        </w:tc>
        <w:tc>
          <w:tcPr>
            <w:tcW w:w="3544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$200,000.00</w:t>
            </w:r>
          </w:p>
        </w:tc>
        <w:tc>
          <w:tcPr>
            <w:tcW w:w="2693" w:type="dxa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$18,905.11</w:t>
            </w:r>
          </w:p>
        </w:tc>
      </w:tr>
      <w:tr w:rsidTr="00821150">
        <w:tblPrEx>
          <w:tblW w:w="1528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18"/>
        </w:trPr>
        <w:tc>
          <w:tcPr>
            <w:tcW w:w="5927" w:type="dxa"/>
          </w:tcPr>
          <w:p w:rsidR="00821150" w:rsidRPr="009B0ADA" w:rsidP="001F61DE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 w:rsidRPr="009B0ADA">
              <w:rPr>
                <w:sz w:val="20"/>
                <w:szCs w:val="20"/>
                <w:lang w:val="en-AU"/>
              </w:rPr>
              <w:t>Schools Mental Health Fund and Menu</w:t>
            </w:r>
          </w:p>
        </w:tc>
        <w:tc>
          <w:tcPr>
            <w:tcW w:w="3118" w:type="dxa"/>
            <w:noWrap w:val="0"/>
          </w:tcPr>
          <w:p w:rsidR="00821150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$46,540.29</w:t>
            </w:r>
          </w:p>
        </w:tc>
        <w:tc>
          <w:tcPr>
            <w:tcW w:w="3544" w:type="dxa"/>
            <w:noWrap w:val="0"/>
          </w:tcPr>
          <w:p w:rsidR="00821150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$40,000.00</w:t>
            </w:r>
          </w:p>
        </w:tc>
        <w:tc>
          <w:tcPr>
            <w:tcW w:w="2693" w:type="dxa"/>
            <w:noWrap w:val="0"/>
          </w:tcPr>
          <w:p w:rsidR="00821150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$6,540.29</w:t>
            </w:r>
          </w:p>
        </w:tc>
      </w:tr>
      <w:tr w:rsidTr="00821150">
        <w:tblPrEx>
          <w:tblW w:w="1528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18"/>
        </w:trPr>
        <w:tc>
          <w:tcPr>
            <w:tcW w:w="5927" w:type="dxa"/>
            <w:shd w:val="clear" w:color="auto" w:fill="BFBFBF" w:themeFill="background1" w:themeFillShade="BF"/>
          </w:tcPr>
          <w:p w:rsidR="001F61DE" w:rsidRPr="009B0ADA" w:rsidP="001F61D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</w:t>
            </w:r>
          </w:p>
        </w:tc>
        <w:tc>
          <w:tcPr>
            <w:tcW w:w="3118" w:type="dxa"/>
            <w:shd w:val="clear" w:color="auto" w:fill="BFBFBF" w:themeFill="background1" w:themeFillShade="BF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$1,223,095.60</w:t>
            </w:r>
          </w:p>
        </w:tc>
        <w:tc>
          <w:tcPr>
            <w:tcW w:w="3544" w:type="dxa"/>
            <w:shd w:val="clear" w:color="auto" w:fill="BFBFBF" w:themeFill="background1" w:themeFillShade="BF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$1,240,000.00</w:t>
            </w:r>
          </w:p>
        </w:tc>
        <w:tc>
          <w:tcPr>
            <w:tcW w:w="2693" w:type="dxa"/>
            <w:shd w:val="clear" w:color="auto" w:fill="BFBFBF" w:themeFill="background1" w:themeFillShade="BF"/>
            <w:noWrap w:val="0"/>
          </w:tcPr>
          <w:p w:rsidR="001F61DE" w:rsidRPr="009B0ADA" w:rsidP="001F61DE">
            <w:pPr>
              <w:spacing w:after="0" w:line="240" w:lineRule="auto"/>
              <w:jc w:val="right"/>
              <w:rPr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-$16,904.40</w:t>
            </w:r>
          </w:p>
        </w:tc>
      </w:tr>
    </w:tbl>
    <w:p w:rsidR="00F5461B" w:rsidRPr="009B0ADA" w:rsidP="007B0A9A">
      <w:pPr>
        <w:spacing w:after="0" w:line="240" w:lineRule="auto"/>
        <w:rPr>
          <w:sz w:val="20"/>
          <w:szCs w:val="20"/>
          <w:lang w:val="en-AU"/>
        </w:rPr>
      </w:pPr>
      <w:bookmarkEnd w:id="2"/>
    </w:p>
    <w:p w:rsidR="003B58DD" w:rsidRPr="009B0ADA" w:rsidP="005B5A46">
      <w:pPr>
        <w:pStyle w:val="ESSubheading1"/>
        <w:spacing w:after="120"/>
        <w:ind w:left="0"/>
        <w:rPr>
          <w:lang w:val="en-AU"/>
        </w:rPr>
      </w:pPr>
    </w:p>
    <w:p w:rsidR="00E53DD0" w:rsidRPr="009B0ADA" w:rsidP="00E53DD0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 w:rsidR="006058A8">
        <w:rPr>
          <w:lang w:val="en-AU"/>
        </w:rPr>
        <w:t>m</w:t>
      </w:r>
      <w:r w:rsidRPr="009B0ADA">
        <w:rPr>
          <w:lang w:val="en-AU"/>
        </w:rPr>
        <w:t>ilestones</w:t>
      </w:r>
      <w:r w:rsidRPr="009B0ADA" w:rsidR="005B5A46">
        <w:rPr>
          <w:lang w:val="en-AU"/>
        </w:rP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502"/>
        <w:gridCol w:w="4110"/>
      </w:tblGrid>
      <w:tr w:rsidTr="005B5A46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Tr="005B5A46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5502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Learning through Domains to ensure AIP actions are regularly monitored and achieved</w:t>
            </w:r>
          </w:p>
        </w:tc>
        <w:tc>
          <w:tcPr>
            <w:tcW w:w="4110" w:type="dxa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</w:tc>
      </w:tr>
      <w:tr w:rsidTr="005B5A46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5502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Wellbeing through Sub Schools teams and the Wellbeing team to ensure AIP actions are regularly monitored and achieved</w:t>
            </w:r>
          </w:p>
        </w:tc>
        <w:tc>
          <w:tcPr>
            <w:tcW w:w="4110" w:type="dxa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</w:tc>
      </w:tr>
      <w:tr w:rsidTr="005B5A46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$1,000,000.00</w:t>
            </w:r>
          </w:p>
        </w:tc>
      </w:tr>
    </w:tbl>
    <w:p w:rsidR="005B5A46" w:rsidRPr="009B0ADA" w:rsidP="005B5A46">
      <w:pPr>
        <w:pStyle w:val="ESSubheading1"/>
        <w:spacing w:after="120"/>
        <w:ind w:left="0"/>
        <w:rPr>
          <w:lang w:val="en-AU"/>
        </w:rPr>
      </w:pPr>
    </w:p>
    <w:p w:rsidR="005B5A46" w:rsidRPr="009B0ADA" w:rsidP="005B5A46">
      <w:pPr>
        <w:pStyle w:val="ESSubheading1"/>
        <w:spacing w:after="120"/>
        <w:ind w:left="0"/>
        <w:rPr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bookmarkStart w:id="3" w:name="_Hlk85615101"/>
      <w:r w:rsidRPr="009B0ADA">
        <w:rPr>
          <w:lang w:val="en-AU"/>
        </w:rPr>
        <w:t xml:space="preserve">Activities and </w:t>
      </w:r>
      <w:r w:rsidRPr="009B0ADA" w:rsidR="006058A8">
        <w:rPr>
          <w:lang w:val="en-AU"/>
        </w:rPr>
        <w:t>m</w:t>
      </w:r>
      <w:r w:rsidRPr="009B0ADA">
        <w:rPr>
          <w:lang w:val="en-AU"/>
        </w:rPr>
        <w:t xml:space="preserve">ilestones - </w:t>
      </w:r>
      <w:r w:rsidRPr="009B0ADA">
        <w:rPr>
          <w:lang w:val="en-AU"/>
        </w:rPr>
        <w:t>Equity Funding</w:t>
      </w:r>
    </w:p>
    <w:tbl>
      <w:tblPr>
        <w:tblStyle w:val="TableGrid"/>
        <w:tblW w:w="15141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514"/>
      </w:tblGrid>
      <w:tr w:rsidTr="005B5A46">
        <w:tblPrEx>
          <w:tblW w:w="15141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514" w:type="dxa"/>
            <w:shd w:val="clear" w:color="auto" w:fill="D9D9D9" w:themeFill="background1" w:themeFillShade="D9"/>
          </w:tcPr>
          <w:p w:rsidR="005B5A46" w:rsidRPr="009B0ADA" w:rsidP="00F5461B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B5A46">
        <w:tblPrEx>
          <w:tblW w:w="15141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Learning through Domains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</w:tc>
        <w:tc>
          <w:tcPr>
            <w:tcW w:w="7514" w:type="dxa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School-based staffing</w:t>
            </w:r>
          </w:p>
        </w:tc>
      </w:tr>
      <w:tr w:rsidTr="005B5A46">
        <w:tblPrEx>
          <w:tblW w:w="15141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Wellbeing through Sub Schools teams and the Wellbeing team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F5461B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$500,000.00</w:t>
            </w:r>
          </w:p>
        </w:tc>
        <w:tc>
          <w:tcPr>
            <w:tcW w:w="7514" w:type="dxa"/>
          </w:tcPr>
          <w:p w:rsidR="005B5A46" w:rsidRPr="009B0ADA" w:rsidP="00F5461B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School-based staffing</w:t>
            </w:r>
          </w:p>
        </w:tc>
      </w:tr>
      <w:tr w:rsidTr="005B5A46">
        <w:tblPrEx>
          <w:tblW w:w="15141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BC6C57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$1,000,000.00</w:t>
            </w:r>
          </w:p>
        </w:tc>
        <w:tc>
          <w:tcPr>
            <w:tcW w:w="7514" w:type="dxa"/>
            <w:shd w:val="clear" w:color="auto" w:fill="BFBFBF" w:themeFill="background1" w:themeFillShade="BF"/>
          </w:tcPr>
          <w:p w:rsidR="005B5A46" w:rsidRPr="009B0ADA" w:rsidP="00BC6C57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F5461B" w:rsidRPr="009B0ADA" w:rsidP="007B0A9A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7B0A9A">
      <w:pPr>
        <w:spacing w:after="0" w:line="240" w:lineRule="auto"/>
        <w:rPr>
          <w:sz w:val="24"/>
          <w:szCs w:val="24"/>
          <w:lang w:val="en-AU"/>
        </w:rPr>
      </w:pPr>
    </w:p>
    <w:p w:rsidR="005B5A46" w:rsidRPr="009B0ADA" w:rsidP="007B0A9A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 w:rsidR="006058A8">
        <w:rPr>
          <w:lang w:val="en-AU"/>
        </w:rPr>
        <w:t>m</w:t>
      </w:r>
      <w:r w:rsidRPr="009B0ADA">
        <w:rPr>
          <w:lang w:val="en-AU"/>
        </w:rPr>
        <w:t xml:space="preserve">ilestones - </w:t>
      </w:r>
      <w:r w:rsidRPr="009B0ADA">
        <w:rPr>
          <w:lang w:val="en-AU"/>
        </w:rPr>
        <w:t>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372"/>
      </w:tblGrid>
      <w:tr w:rsidTr="005B5A46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B5A46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Learning through Domains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$100,000.00</w:t>
            </w:r>
          </w:p>
        </w:tc>
        <w:tc>
          <w:tcPr>
            <w:tcW w:w="7372" w:type="dxa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Other workforces to support students with disability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:rsidR="005B5A46" w:rsidRPr="009B0ADA" w:rsidP="004B2B8E">
            <w:pPr>
              <w:numPr>
                <w:numId w:val="28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Tr="005B5A46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Wellbeing through Sub Schools teams and the Wellbeing team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4B2B8E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$100,000.00</w:t>
            </w:r>
          </w:p>
        </w:tc>
        <w:tc>
          <w:tcPr>
            <w:tcW w:w="7372" w:type="dxa"/>
          </w:tcPr>
          <w:p w:rsidR="005B5A46" w:rsidRPr="009B0ADA" w:rsidP="004B2B8E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Other workforces to support students with disability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:rsidR="005B5A46" w:rsidRPr="009B0ADA" w:rsidP="004B2B8E">
            <w:pPr>
              <w:numPr>
                <w:numId w:val="29"/>
              </w:num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Tr="005B5A46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4B2B8E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$200,000.00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9B0ADA" w:rsidP="004B2B8E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E53DD0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5B5A46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7B0A9A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Activities and </w:t>
      </w:r>
      <w:r w:rsidRPr="009B0ADA" w:rsidR="006058A8">
        <w:rPr>
          <w:lang w:val="en-AU"/>
        </w:rPr>
        <w:t>m</w:t>
      </w:r>
      <w:r w:rsidRPr="009B0ADA">
        <w:rPr>
          <w:lang w:val="en-AU"/>
        </w:rPr>
        <w:t xml:space="preserve">ilestones - </w:t>
      </w:r>
      <w:r w:rsidRPr="009B0ADA">
        <w:rPr>
          <w:lang w:val="en-AU"/>
        </w:rPr>
        <w:t>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372"/>
      </w:tblGrid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bookmarkEnd w:id="3"/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Learning through Domains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$20,000.00</w:t>
            </w:r>
          </w:p>
        </w:tc>
        <w:tc>
          <w:tcPr>
            <w:tcW w:w="7372" w:type="dxa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Employ teaching staff to support Tier 2 initiatives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Refine Leadership Team to prioritise Wellbeing through Sub Schools teams and the Wellbeing team to ensure AIP actions are regularly monitored and achieved</w:t>
            </w:r>
          </w:p>
        </w:tc>
        <w:tc>
          <w:tcPr>
            <w:tcW w:w="1984" w:type="dxa"/>
            <w:noWrap w:val="0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268" w:type="dxa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sz w:val="20"/>
                <w:szCs w:val="24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$20,000.00</w:t>
            </w:r>
          </w:p>
        </w:tc>
        <w:tc>
          <w:tcPr>
            <w:tcW w:w="7372" w:type="dxa"/>
          </w:tcPr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Employ teaching staff to support Tier 2 initiatives</w:t>
            </w:r>
            <w:r w:rsidRPr="009B0ADA">
              <w:rPr>
                <w:sz w:val="20"/>
                <w:szCs w:val="24"/>
                <w:lang w:val="en-AU"/>
              </w:rPr>
              <w:br/>
            </w:r>
          </w:p>
          <w:p w:rsidR="005B5A46" w:rsidRPr="009B0ADA" w:rsidP="00576519">
            <w:pPr>
              <w:spacing w:after="0" w:line="240" w:lineRule="auto"/>
              <w:rPr>
                <w:sz w:val="20"/>
                <w:szCs w:val="24"/>
                <w:lang w:val="en-AU"/>
              </w:rPr>
            </w:pP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$40,000.00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E53DD0" w:rsidRPr="009B0ADA" w:rsidP="00DA3296">
      <w:pPr>
        <w:pStyle w:val="ESSubheading1"/>
        <w:spacing w:after="120"/>
        <w:rPr>
          <w:lang w:val="en-AU"/>
        </w:rPr>
      </w:pPr>
    </w:p>
    <w:p w:rsidR="005B5A46" w:rsidRPr="009B0ADA" w:rsidP="00DA3296">
      <w:pPr>
        <w:pStyle w:val="ESSubheading1"/>
        <w:spacing w:after="120"/>
        <w:rPr>
          <w:lang w:val="en-AU"/>
        </w:rPr>
      </w:pPr>
    </w:p>
    <w:p w:rsidR="00F5461B" w:rsidRPr="009B0ADA" w:rsidP="00DA329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 w:rsidR="006058A8">
        <w:rPr>
          <w:lang w:val="en-AU"/>
        </w:rPr>
        <w:t>f</w:t>
      </w:r>
      <w:r w:rsidRPr="009B0ADA" w:rsidR="00B140E8">
        <w:rPr>
          <w:lang w:val="en-AU"/>
        </w:rPr>
        <w:t xml:space="preserve">unding </w:t>
      </w:r>
      <w:r w:rsidRPr="009B0ADA" w:rsidR="006058A8">
        <w:rPr>
          <w:lang w:val="en-AU"/>
        </w:rPr>
        <w:t>p</w:t>
      </w:r>
      <w:r w:rsidRPr="009B0ADA" w:rsidR="00B140E8">
        <w:rPr>
          <w:lang w:val="en-AU"/>
        </w:rPr>
        <w:t>lanner</w:t>
      </w:r>
      <w:r w:rsidRPr="009B0ADA" w:rsidR="005B5A46">
        <w:rPr>
          <w:lang w:val="en-AU"/>
        </w:rPr>
        <w:t xml:space="preserve"> – Total Budget</w:t>
      </w:r>
    </w:p>
    <w:tbl>
      <w:tblPr>
        <w:tblStyle w:val="TableGrid"/>
        <w:tblW w:w="9612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5502"/>
        <w:gridCol w:w="4110"/>
      </w:tblGrid>
      <w:tr w:rsidTr="00576519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550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Budget</w:t>
            </w:r>
          </w:p>
        </w:tc>
      </w:tr>
      <w:tr w:rsidTr="00576519">
        <w:tblPrEx>
          <w:tblW w:w="9612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550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4110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</w:tc>
      </w:tr>
    </w:tbl>
    <w:p w:rsidR="005B5A46" w:rsidRPr="009B0ADA" w:rsidP="00DA3296">
      <w:pPr>
        <w:pStyle w:val="ESSubheading1"/>
        <w:spacing w:after="120"/>
        <w:rPr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 w:rsidR="006058A8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 w:rsidR="006058A8">
        <w:rPr>
          <w:lang w:val="en-AU"/>
        </w:rPr>
        <w:t>p</w:t>
      </w:r>
      <w:r w:rsidRPr="009B0ADA">
        <w:rPr>
          <w:lang w:val="en-AU"/>
        </w:rPr>
        <w:t xml:space="preserve">lanner – </w:t>
      </w:r>
      <w:r w:rsidRPr="009B0ADA">
        <w:rPr>
          <w:lang w:val="en-AU"/>
        </w:rPr>
        <w:t>Equity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372"/>
      </w:tblGrid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E53DD0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 w:rsidR="006058A8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 w:rsidR="006058A8">
        <w:rPr>
          <w:lang w:val="en-AU"/>
        </w:rPr>
        <w:t>p</w:t>
      </w:r>
      <w:r w:rsidRPr="009B0ADA">
        <w:rPr>
          <w:lang w:val="en-AU"/>
        </w:rPr>
        <w:t xml:space="preserve">lanner – </w:t>
      </w:r>
      <w:r w:rsidRPr="009B0ADA">
        <w:rPr>
          <w:lang w:val="en-AU"/>
        </w:rPr>
        <w:t>Disability Inclusion Funding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372"/>
      </w:tblGrid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E53DD0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E53DD0">
      <w:pPr>
        <w:spacing w:after="0" w:line="240" w:lineRule="auto"/>
        <w:rPr>
          <w:sz w:val="24"/>
          <w:szCs w:val="24"/>
          <w:lang w:val="en-AU"/>
        </w:rPr>
      </w:pPr>
    </w:p>
    <w:p w:rsidR="00E53DD0" w:rsidRPr="009B0ADA" w:rsidP="005B5A46">
      <w:pPr>
        <w:pStyle w:val="ESSubheading1"/>
        <w:spacing w:after="120"/>
        <w:rPr>
          <w:lang w:val="en-AU"/>
        </w:rPr>
      </w:pPr>
      <w:r w:rsidRPr="009B0ADA">
        <w:rPr>
          <w:lang w:val="en-AU"/>
        </w:rPr>
        <w:t xml:space="preserve">Additional </w:t>
      </w:r>
      <w:r w:rsidRPr="009B0ADA" w:rsidR="006058A8">
        <w:rPr>
          <w:lang w:val="en-AU"/>
        </w:rPr>
        <w:t>f</w:t>
      </w:r>
      <w:r w:rsidRPr="009B0ADA">
        <w:rPr>
          <w:lang w:val="en-AU"/>
        </w:rPr>
        <w:t xml:space="preserve">unding </w:t>
      </w:r>
      <w:r w:rsidRPr="009B0ADA" w:rsidR="006058A8">
        <w:rPr>
          <w:lang w:val="en-AU"/>
        </w:rPr>
        <w:t>p</w:t>
      </w:r>
      <w:r w:rsidRPr="009B0ADA">
        <w:rPr>
          <w:lang w:val="en-AU"/>
        </w:rPr>
        <w:t xml:space="preserve">lanner – </w:t>
      </w:r>
      <w:r w:rsidRPr="009B0ADA">
        <w:rPr>
          <w:lang w:val="en-AU"/>
        </w:rPr>
        <w:t>Schools Mental Health Fund and Menu</w:t>
      </w:r>
    </w:p>
    <w:tbl>
      <w:tblPr>
        <w:tblStyle w:val="TableGrid"/>
        <w:tblW w:w="14999" w:type="dxa"/>
        <w:tblInd w:w="-54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3375"/>
        <w:gridCol w:w="1984"/>
        <w:gridCol w:w="2268"/>
        <w:gridCol w:w="7372"/>
      </w:tblGrid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296"/>
        </w:trPr>
        <w:tc>
          <w:tcPr>
            <w:tcW w:w="3375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 xml:space="preserve">Activities and </w:t>
            </w:r>
            <w:r w:rsidRPr="009B0ADA" w:rsidR="006058A8">
              <w:rPr>
                <w:b/>
                <w:sz w:val="20"/>
                <w:szCs w:val="20"/>
                <w:lang w:val="en-AU"/>
              </w:rPr>
              <w:t>m</w:t>
            </w:r>
            <w:r w:rsidRPr="009B0ADA">
              <w:rPr>
                <w:b/>
                <w:sz w:val="20"/>
                <w:szCs w:val="20"/>
                <w:lang w:val="en-AU"/>
              </w:rPr>
              <w:t>ilestones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When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Funding allocated ($)</w:t>
            </w:r>
          </w:p>
        </w:tc>
        <w:tc>
          <w:tcPr>
            <w:tcW w:w="7372" w:type="dxa"/>
            <w:shd w:val="clear" w:color="auto" w:fill="D9D9D9" w:themeFill="background1" w:themeFillShade="D9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Category</w:t>
            </w:r>
          </w:p>
        </w:tc>
      </w:tr>
      <w:tr w:rsidTr="00576519">
        <w:tblPrEx>
          <w:tblW w:w="14999" w:type="dxa"/>
          <w:tblInd w:w="-54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332"/>
        </w:trPr>
        <w:tc>
          <w:tcPr>
            <w:tcW w:w="3375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  <w:r w:rsidRPr="009B0ADA">
              <w:rPr>
                <w:b/>
                <w:sz w:val="20"/>
                <w:szCs w:val="20"/>
                <w:lang w:val="en-AU"/>
              </w:rPr>
              <w:t>Totals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noWrap w:val="0"/>
          </w:tcPr>
          <w:p w:rsidR="005B5A46" w:rsidRPr="009B0ADA" w:rsidP="00576519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$0.00</w:t>
            </w:r>
          </w:p>
        </w:tc>
        <w:tc>
          <w:tcPr>
            <w:tcW w:w="7372" w:type="dxa"/>
            <w:shd w:val="clear" w:color="auto" w:fill="BFBFBF" w:themeFill="background1" w:themeFillShade="BF"/>
          </w:tcPr>
          <w:p w:rsidR="005B5A46" w:rsidRPr="009B0ADA" w:rsidP="00576519">
            <w:pPr>
              <w:spacing w:after="0" w:line="240" w:lineRule="auto"/>
              <w:rPr>
                <w:b/>
                <w:sz w:val="20"/>
                <w:szCs w:val="20"/>
                <w:lang w:val="en-AU"/>
              </w:rPr>
            </w:pPr>
          </w:p>
        </w:tc>
      </w:tr>
    </w:tbl>
    <w:p w:rsidR="00747ADA" w:rsidRPr="009B0ADA" w:rsidP="00747ADA">
      <w:pPr>
        <w:pStyle w:val="ESSubheading1"/>
        <w:spacing w:after="120"/>
        <w:ind w:left="0"/>
        <w:rPr>
          <w:lang w:val="en-AU"/>
        </w:rPr>
        <w:sectPr w:rsidSect="003E6F28">
          <w:headerReference w:type="even" r:id="rId26"/>
          <w:headerReference w:type="default" r:id="rId27"/>
          <w:footerReference w:type="default" r:id="rId28"/>
          <w:headerReference w:type="first" r:id="rId29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:rsidR="006F370A" w:rsidRPr="003B0D87" w:rsidP="0031627D">
      <w:pPr>
        <w:ind w:right="1618" w:hanging="540"/>
        <w:rPr>
          <w:b/>
          <w:color w:val="AF272F"/>
          <w:sz w:val="32"/>
          <w:szCs w:val="32"/>
          <w:lang w:val="en-AU"/>
        </w:rPr>
      </w:pPr>
      <w:r w:rsidRPr="003B0D87">
        <w:rPr>
          <w:b/>
          <w:color w:val="AF272F"/>
          <w:sz w:val="32"/>
          <w:szCs w:val="32"/>
          <w:lang w:val="en-AU"/>
        </w:rPr>
        <w:t xml:space="preserve">Professional </w:t>
      </w:r>
      <w:r w:rsidRPr="003B0D87" w:rsidR="00CB5539">
        <w:rPr>
          <w:b/>
          <w:color w:val="AF272F"/>
          <w:sz w:val="32"/>
          <w:szCs w:val="32"/>
          <w:lang w:val="en-AU"/>
        </w:rPr>
        <w:t>l</w:t>
      </w:r>
      <w:r w:rsidRPr="003B0D87">
        <w:rPr>
          <w:b/>
          <w:color w:val="AF272F"/>
          <w:sz w:val="32"/>
          <w:szCs w:val="32"/>
          <w:lang w:val="en-AU"/>
        </w:rPr>
        <w:t xml:space="preserve">earning </w:t>
      </w:r>
      <w:r w:rsidRPr="003B0D87" w:rsidR="00CB5539">
        <w:rPr>
          <w:b/>
          <w:color w:val="AF272F"/>
          <w:sz w:val="32"/>
          <w:szCs w:val="32"/>
          <w:lang w:val="en-AU"/>
        </w:rPr>
        <w:t>p</w:t>
      </w:r>
      <w:r w:rsidRPr="003B0D87">
        <w:rPr>
          <w:b/>
          <w:color w:val="AF272F"/>
          <w:sz w:val="32"/>
          <w:szCs w:val="32"/>
          <w:lang w:val="en-AU"/>
        </w:rPr>
        <w:t>lan</w:t>
      </w:r>
    </w:p>
    <w:p w:rsidR="00C259B6" w:rsidRPr="003B0D87" w:rsidP="00C259B6">
      <w:pPr>
        <w:pStyle w:val="ESIntroParagraph"/>
        <w:ind w:left="-567" w:right="4330"/>
        <w:rPr>
          <w:color w:val="AF272F"/>
          <w:sz w:val="18"/>
          <w:szCs w:val="18"/>
          <w:lang w:val="en-AU"/>
        </w:rPr>
      </w:pPr>
    </w:p>
    <w:tbl>
      <w:tblPr>
        <w:tblStyle w:val="TableGrid"/>
        <w:tblW w:w="15030" w:type="dxa"/>
        <w:tblInd w:w="-455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2880"/>
        <w:gridCol w:w="1530"/>
        <w:gridCol w:w="1440"/>
        <w:gridCol w:w="2790"/>
        <w:gridCol w:w="2700"/>
        <w:gridCol w:w="2430"/>
        <w:gridCol w:w="1260"/>
      </w:tblGrid>
      <w:tr w:rsidTr="002D1F7D">
        <w:tblPrEx>
          <w:tblW w:w="1503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353"/>
        </w:trPr>
        <w:tc>
          <w:tcPr>
            <w:tcW w:w="2880" w:type="dxa"/>
            <w:shd w:val="clear" w:color="auto" w:fill="D9D9D9" w:themeFill="background1" w:themeFillShade="D9"/>
          </w:tcPr>
          <w:p w:rsidR="00C259B6" w:rsidRPr="003B0D87" w:rsidP="00BB22C9">
            <w:pPr>
              <w:pStyle w:val="Heading3"/>
              <w:spacing w:before="0" w:after="0"/>
              <w:rPr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Professional </w:t>
            </w:r>
            <w:r w:rsidRPr="003B0D87" w:rsidR="00CB5539">
              <w:rPr>
                <w:bCs/>
                <w:szCs w:val="36"/>
                <w:lang w:val="en-AU"/>
              </w:rPr>
              <w:t>l</w:t>
            </w:r>
            <w:r w:rsidRPr="003B0D87">
              <w:rPr>
                <w:bCs/>
                <w:szCs w:val="36"/>
                <w:lang w:val="en-AU"/>
              </w:rPr>
              <w:t xml:space="preserve">earning </w:t>
            </w:r>
            <w:r w:rsidRPr="003B0D87" w:rsidR="00CB5539">
              <w:rPr>
                <w:bCs/>
                <w:szCs w:val="36"/>
                <w:lang w:val="en-AU"/>
              </w:rPr>
              <w:t>p</w:t>
            </w:r>
            <w:r w:rsidRPr="003B0D87">
              <w:rPr>
                <w:bCs/>
                <w:szCs w:val="36"/>
                <w:lang w:val="en-AU"/>
              </w:rPr>
              <w:t>riority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C259B6" w:rsidRPr="003B0D87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Who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259B6" w:rsidRPr="003B0D87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When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C259B6" w:rsidRPr="003B0D87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Key </w:t>
            </w:r>
            <w:r w:rsidRPr="003B0D87" w:rsidR="00CB5539">
              <w:rPr>
                <w:bCs/>
                <w:szCs w:val="36"/>
                <w:lang w:val="en-AU"/>
              </w:rPr>
              <w:t>p</w:t>
            </w:r>
            <w:r w:rsidRPr="003B0D87">
              <w:rPr>
                <w:bCs/>
                <w:szCs w:val="36"/>
                <w:lang w:val="en-AU"/>
              </w:rPr>
              <w:t xml:space="preserve">rofessional </w:t>
            </w:r>
            <w:r w:rsidRPr="003B0D87" w:rsidR="00CB5539">
              <w:rPr>
                <w:bCs/>
                <w:szCs w:val="36"/>
                <w:lang w:val="en-AU"/>
              </w:rPr>
              <w:t>l</w:t>
            </w:r>
            <w:r w:rsidRPr="003B0D87">
              <w:rPr>
                <w:bCs/>
                <w:szCs w:val="36"/>
                <w:lang w:val="en-AU"/>
              </w:rPr>
              <w:t xml:space="preserve">earning </w:t>
            </w:r>
            <w:r w:rsidRPr="003B0D87" w:rsidR="00CB5539">
              <w:rPr>
                <w:bCs/>
                <w:szCs w:val="36"/>
                <w:lang w:val="en-AU"/>
              </w:rPr>
              <w:t>s</w:t>
            </w:r>
            <w:r w:rsidRPr="003B0D87">
              <w:rPr>
                <w:bCs/>
                <w:szCs w:val="36"/>
                <w:lang w:val="en-AU"/>
              </w:rPr>
              <w:t>trategies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259B6" w:rsidRPr="003B0D87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Organisational </w:t>
            </w:r>
            <w:r w:rsidRPr="003B0D87" w:rsidR="00CB5539">
              <w:rPr>
                <w:bCs/>
                <w:szCs w:val="36"/>
                <w:lang w:val="en-AU"/>
              </w:rPr>
              <w:t>s</w:t>
            </w:r>
            <w:r w:rsidRPr="003B0D87">
              <w:rPr>
                <w:bCs/>
                <w:szCs w:val="36"/>
                <w:lang w:val="en-AU"/>
              </w:rPr>
              <w:t>tructure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259B6" w:rsidRPr="003B0D87" w:rsidP="00BB22C9">
            <w:pPr>
              <w:pStyle w:val="Heading3"/>
              <w:spacing w:before="0" w:after="0"/>
              <w:rPr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 xml:space="preserve">Expertise </w:t>
            </w:r>
            <w:r w:rsidRPr="003B0D87" w:rsidR="00CB5539">
              <w:rPr>
                <w:bCs/>
                <w:szCs w:val="36"/>
                <w:lang w:val="en-AU"/>
              </w:rPr>
              <w:t>a</w:t>
            </w:r>
            <w:r w:rsidRPr="003B0D87">
              <w:rPr>
                <w:bCs/>
                <w:szCs w:val="36"/>
                <w:lang w:val="en-AU"/>
              </w:rPr>
              <w:t>ccessed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59B6" w:rsidRPr="003B0D87" w:rsidP="00CB5539">
            <w:pPr>
              <w:pStyle w:val="Heading3"/>
              <w:spacing w:before="0" w:after="0"/>
              <w:rPr>
                <w:b w:val="0"/>
                <w:bCs/>
                <w:szCs w:val="36"/>
                <w:lang w:val="en-AU"/>
              </w:rPr>
            </w:pPr>
            <w:r w:rsidRPr="003B0D87">
              <w:rPr>
                <w:bCs/>
                <w:szCs w:val="36"/>
                <w:lang w:val="en-AU"/>
              </w:rPr>
              <w:t>W</w:t>
            </w:r>
            <w:r w:rsidRPr="003B0D87" w:rsidR="00A67176">
              <w:rPr>
                <w:bCs/>
                <w:szCs w:val="36"/>
                <w:lang w:val="en-AU"/>
              </w:rPr>
              <w:t>he</w:t>
            </w:r>
            <w:r w:rsidRPr="003B0D87">
              <w:rPr>
                <w:bCs/>
                <w:szCs w:val="36"/>
                <w:lang w:val="en-AU"/>
              </w:rPr>
              <w:t>re</w:t>
            </w:r>
          </w:p>
        </w:tc>
      </w:tr>
      <w:tr w:rsidTr="002D1F7D">
        <w:tblPrEx>
          <w:tblW w:w="1503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288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Embed the updated Literacy Scope and Sequence with a focus on consistent approach to Writing.</w:t>
            </w:r>
          </w:p>
        </w:tc>
        <w:tc>
          <w:tcPr>
            <w:tcW w:w="15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  <w:p/>
        </w:tc>
        <w:tc>
          <w:tcPr>
            <w:tcW w:w="144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79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Planning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Preparation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 school meeting / internal professional learning sessions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Literacy expertise</w:t>
            </w:r>
          </w:p>
        </w:tc>
        <w:tc>
          <w:tcPr>
            <w:tcW w:w="126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On-site</w:t>
            </w:r>
          </w:p>
        </w:tc>
      </w:tr>
      <w:tr w:rsidTr="002D1F7D">
        <w:tblPrEx>
          <w:tblW w:w="1503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288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 xml:space="preserve">Support MRPS and APS to introduce a consistent whole school approach to Writing.  </w:t>
            </w:r>
          </w:p>
        </w:tc>
        <w:tc>
          <w:tcPr>
            <w:tcW w:w="15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Assistant principal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Learning specialist(s)</w:t>
            </w:r>
          </w:p>
          <w:p/>
        </w:tc>
        <w:tc>
          <w:tcPr>
            <w:tcW w:w="144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79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Planning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Preparation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 school meeting / internal professional learning sessions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Literacy expertise</w:t>
            </w:r>
          </w:p>
        </w:tc>
        <w:tc>
          <w:tcPr>
            <w:tcW w:w="126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On-site</w:t>
            </w:r>
          </w:p>
        </w:tc>
      </w:tr>
      <w:tr w:rsidTr="002D1F7D">
        <w:tblPrEx>
          <w:tblW w:w="1503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288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Identify and schedule appropriate professional learning for teachers implementing wellbeing programs</w:t>
            </w:r>
          </w:p>
        </w:tc>
        <w:tc>
          <w:tcPr>
            <w:tcW w:w="15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SWPBS leader/team</w:t>
            </w:r>
          </w:p>
          <w:p/>
        </w:tc>
        <w:tc>
          <w:tcPr>
            <w:tcW w:w="144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79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Planning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Preparation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 school meeting / internal professional learning sessions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Literacy expertise</w:t>
            </w:r>
          </w:p>
        </w:tc>
        <w:tc>
          <w:tcPr>
            <w:tcW w:w="126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On-site</w:t>
            </w:r>
          </w:p>
        </w:tc>
      </w:tr>
      <w:tr w:rsidTr="002D1F7D">
        <w:tblPrEx>
          <w:tblW w:w="15030" w:type="dxa"/>
          <w:tblInd w:w="-455" w:type="dxa"/>
          <w:tblCellMar>
            <w:top w:w="115" w:type="dxa"/>
            <w:left w:w="115" w:type="dxa"/>
            <w:bottom w:w="115" w:type="dxa"/>
            <w:right w:w="115" w:type="dxa"/>
          </w:tblCellMar>
          <w:tblLook w:val="04A0"/>
        </w:tblPrEx>
        <w:trPr>
          <w:trHeight w:val="110"/>
        </w:trPr>
        <w:tc>
          <w:tcPr>
            <w:tcW w:w="288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Within the FNEP TIPE team (Trauma-Informed, Positive Education) investigate professional learning opportunities, including subsequent sessions to determine impact and review actions</w:t>
            </w:r>
          </w:p>
        </w:tc>
        <w:tc>
          <w:tcPr>
            <w:tcW w:w="15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Leadership team</w:t>
            </w:r>
          </w:p>
          <w:p/>
        </w:tc>
        <w:tc>
          <w:tcPr>
            <w:tcW w:w="1440" w:type="dxa"/>
            <w:noWrap w:val="0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Arial" w:eastAsia="Arial" w:hAnsi="Arial" w:cs="Arial"/>
                <w:sz w:val="22"/>
              </w:rPr>
              <w:t>from:</w:t>
              <w:br/>
              <w:t>Term 1</w:t>
            </w:r>
          </w:p>
          <w:p>
            <w:r>
              <w:rPr>
                <w:rFonts w:ascii="Arial" w:eastAsia="Arial" w:hAnsi="Arial" w:cs="Arial"/>
                <w:sz w:val="22"/>
              </w:rPr>
              <w:t>to:</w:t>
              <w:br/>
              <w:t>Term 4</w:t>
            </w:r>
          </w:p>
        </w:tc>
        <w:tc>
          <w:tcPr>
            <w:tcW w:w="279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Planning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Preparation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Formalised PLC/PLTs</w:t>
            </w:r>
          </w:p>
        </w:tc>
        <w:tc>
          <w:tcPr>
            <w:tcW w:w="270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Formal school meeting / internal professional learning sessions</w:t>
            </w:r>
          </w:p>
          <w:p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PLC/PLT meeting</w:t>
            </w:r>
          </w:p>
        </w:tc>
        <w:tc>
          <w:tcPr>
            <w:tcW w:w="243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Literacy expertise</w:t>
            </w:r>
          </w:p>
        </w:tc>
        <w:tc>
          <w:tcPr>
            <w:tcW w:w="1260" w:type="dxa"/>
          </w:tcPr>
          <w:p w:rsidR="00C259B6" w:rsidRPr="003B0D87" w:rsidP="00FB5F1A">
            <w:pPr>
              <w:spacing w:after="0"/>
              <w:rPr>
                <w:lang w:val="en-AU"/>
              </w:rPr>
            </w:pPr>
            <w:r>
              <w:rPr>
                <w:rFonts w:ascii="Wingdings" w:eastAsia="Wingdings" w:hAnsi="Wingdings" w:cs="Wingdings"/>
                <w:color w:val="008000"/>
                <w:sz w:val="24"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On-site</w:t>
            </w:r>
          </w:p>
        </w:tc>
      </w:tr>
    </w:tbl>
    <w:p w:rsidR="00E66A5E" w:rsidRPr="003B0D87" w:rsidP="004B6AD4">
      <w:pPr>
        <w:pStyle w:val="ESBodyText"/>
        <w:rPr>
          <w:lang w:val="en-AU"/>
        </w:rPr>
      </w:pPr>
    </w:p>
    <w:sectPr w:rsidSect="004F1DF3">
      <w:headerReference w:type="even" r:id="rId30"/>
      <w:headerReference w:type="default" r:id="rId31"/>
      <w:footerReference w:type="default" r:id="rId32"/>
      <w:headerReference w:type="first" r:id="rId33"/>
      <w:pgSz w:w="16838" w:h="11906" w:orient="landscape" w:code="9"/>
      <w:pgMar w:top="1304" w:right="2036" w:bottom="1240" w:left="1304" w:header="624" w:footer="532" w:gutter="0"/>
      <w:pgNumType w:start="2"/>
      <w:cols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793BFC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Monterey Secondary College (8809) - 2024 - AIP - Overall</w:t>
    </w:r>
    <w:r w:rsidRPr="00793BFC" w:rsidR="000C104E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B33DA4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5C4" w:rsidRPr="00B4442D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Monterey Secondary College (8809) - 2024 - AIP - Self Evaluation Summary</w:t>
    </w:r>
    <w:r w:rsidRPr="00B4442D" w:rsidR="000C104E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86912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551895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5C4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175B96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54" w:rsidRPr="00006534" w:rsidP="00943620">
    <w:pPr>
      <w:pStyle w:val="ESSubheading1"/>
      <w:ind w:firstLine="567"/>
    </w:pPr>
    <w:r w:rsidRPr="00943620">
      <w:rPr>
        <w:noProof/>
        <w:sz w:val="15"/>
        <w:szCs w:val="15"/>
      </w:rPr>
      <w:t>Monterey Secondary College (8809) - 2024 - AIP - Annual Goals Targets and KIS</w:t>
    </w:r>
    <w:r w:rsidRPr="000C104E" w:rsidR="000C104E">
      <w:rPr>
        <w:noProof/>
        <w:lang w:val="en-AU" w:eastAsia="en-AU"/>
      </w:rPr>
      <w:drawing>
        <wp:anchor distT="0" distB="0" distL="114300" distR="114300" simplePos="0" relativeHeight="251687936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6699140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 w:rsidR="00943620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483564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2C54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C15853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995" w:rsidRPr="00006534" w:rsidP="0091722C">
    <w:pPr>
      <w:pStyle w:val="ESSubheading1"/>
      <w:ind w:firstLine="567"/>
    </w:pPr>
    <w:r w:rsidRPr="0091722C">
      <w:rPr>
        <w:noProof/>
        <w:sz w:val="15"/>
        <w:szCs w:val="15"/>
      </w:rPr>
      <w:t>Monterey Secondary College (8809) - 2024 - AIP - Actions Outcomes and Activities</w:t>
    </w:r>
    <w:r w:rsidRPr="000C104E" w:rsidR="000C104E">
      <w:rPr>
        <w:noProof/>
        <w:lang w:val="en-AU" w:eastAsia="en-AU"/>
      </w:rPr>
      <w:drawing>
        <wp:anchor distT="0" distB="0" distL="114300" distR="114300" simplePos="0" relativeHeight="251692032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309247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3995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103446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167" w:rsidRPr="00B4442D" w:rsidP="00DD6247">
    <w:pPr>
      <w:pStyle w:val="ESSubheading1"/>
      <w:ind w:firstLine="567"/>
      <w:rPr>
        <w:sz w:val="15"/>
        <w:szCs w:val="15"/>
      </w:rPr>
    </w:pPr>
    <w:r w:rsidRPr="00B4442D">
      <w:rPr>
        <w:noProof/>
        <w:sz w:val="15"/>
        <w:szCs w:val="15"/>
      </w:rPr>
      <w:t>Monterey Secondary College (8809) - 2024 - AIP - Funding Planner</w:t>
    </w:r>
    <w:r w:rsidRPr="00B4442D" w:rsidR="000C104E">
      <w:rPr>
        <w:noProof/>
        <w:sz w:val="15"/>
        <w:szCs w:val="15"/>
        <w:lang w:val="en-AU" w:eastAsia="en-AU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59463332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499102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4167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34778B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B73" w:rsidRPr="00006534" w:rsidP="005513BB">
    <w:pPr>
      <w:pStyle w:val="ESSubheading1"/>
      <w:ind w:firstLine="567"/>
    </w:pPr>
    <w:r w:rsidRPr="005513BB">
      <w:rPr>
        <w:noProof/>
        <w:sz w:val="15"/>
        <w:szCs w:val="15"/>
      </w:rPr>
      <w:t>Monterey Secondary College (8809) - 2024 - AIP - Professional Learning Plan</w:t>
    </w:r>
    <w:r w:rsidRPr="000C104E" w:rsidR="000C104E">
      <w:rPr>
        <w:noProof/>
        <w:lang w:val="en-AU" w:eastAsia="en-AU"/>
      </w:rPr>
      <w:drawing>
        <wp:anchor distT="0" distB="0" distL="114300" distR="114300" simplePos="0" relativeHeight="251694080" behindDoc="1" locked="0" layoutInCell="1" allowOverlap="1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1606560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6534" w:rsidR="005513BB">
      <w:t xml:space="preserve"> </w:t>
    </w:r>
  </w:p>
  <w:sdt>
    <w:sdtPr>
      <w:rPr>
        <w:rFonts w:eastAsia="Arial" w:cs="Times New Roman"/>
        <w:color w:val="AF272F"/>
        <w:sz w:val="15"/>
        <w:szCs w:val="15"/>
        <w:lang w:val="en-AU"/>
      </w:rPr>
      <w:id w:val="1939477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B73" w:rsidRPr="007B2B29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 w:rsidR="00110191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2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336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0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5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384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3995" w:rsidRPr="003E29B5" w:rsidP="008766A4">
    <w:r w:rsidRPr="000C104E">
      <w:rPr>
        <w:noProof/>
        <w:lang w:val="en-AU" w:eastAsia="en-AU"/>
      </w:rPr>
      <w:drawing>
        <wp:anchor distT="0" distB="0" distL="114300" distR="114300" simplePos="0" relativeHeight="251688960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45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564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3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7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486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4167" w:rsidRPr="003E29B5" w:rsidP="008766A4">
    <w:r w:rsidRPr="000C104E">
      <w:rPr>
        <w:noProof/>
        <w:lang w:val="en-AU" w:eastAsia="en-AU"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15345547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6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6672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9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8588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1B73" w:rsidRPr="003E29B5" w:rsidP="008766A4">
    <w:r w:rsidRPr="000C104E">
      <w:rPr>
        <w:noProof/>
        <w:lang w:val="en-AU" w:eastAsia="en-AU"/>
      </w:rPr>
      <w:drawing>
        <wp:anchor distT="0" distB="0" distL="114300" distR="114300" simplePos="0" relativeHeight="251691008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9499347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9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7696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3E29B5" w:rsidP="008766A4">
    <w:r w:rsidRPr="000C104E">
      <w:rPr>
        <w:noProof/>
        <w:lang w:val="en-AU" w:eastAsia="en-AU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3600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 w:rsidRPr="000C104E">
      <w:rPr>
        <w:noProof/>
        <w:lang w:val="en-AU" w:eastAsia="en-AU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299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438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3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462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C54" w:rsidRPr="003E29B5" w:rsidP="008766A4">
    <w:r w:rsidRPr="000C104E">
      <w:rPr>
        <w:noProof/>
        <w:lang w:val="en-AU" w:eastAsia="en-AU"/>
      </w:rPr>
      <w:drawing>
        <wp:anchor distT="0" distB="0" distL="114300" distR="114300" simplePos="0" relativeHeight="251682816" behindDoc="1" locked="0" layoutInCell="1" allowOverlap="1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7870323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DD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D4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3321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59B6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>
                                <w14:solidFill>
                                  <w14:srgbClr w14:val="D3D3D3"/>
                                </w14:solidFill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60527E"/>
    <w:multiLevelType w:val="hybridMultilevel"/>
    <w:tmpl w:val="97505B86"/>
    <w:lvl w:ilvl="0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FCB6DE1"/>
    <w:multiLevelType w:val="hybridMultilevel"/>
    <w:tmpl w:val="7FCB6D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7FCB6DE2"/>
    <w:multiLevelType w:val="hybridMultilevel"/>
    <w:tmpl w:val="7FCB6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7FCB6DE3"/>
    <w:multiLevelType w:val="hybridMultilevel"/>
    <w:tmpl w:val="7FCB6D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7FCB6DE4"/>
    <w:multiLevelType w:val="hybridMultilevel"/>
    <w:tmpl w:val="7FCB6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7FCB6DE5"/>
    <w:multiLevelType w:val="hybridMultilevel"/>
    <w:tmpl w:val="7FCB6DE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7FCB6DE6"/>
    <w:multiLevelType w:val="hybridMultilevel"/>
    <w:tmpl w:val="7FCB6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FCB6DE7"/>
    <w:multiLevelType w:val="hybridMultilevel"/>
    <w:tmpl w:val="7FCB6D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FCB6DE8"/>
    <w:multiLevelType w:val="hybridMultilevel"/>
    <w:tmpl w:val="7FCB6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7FCB6DE9"/>
    <w:multiLevelType w:val="hybridMultilevel"/>
    <w:tmpl w:val="7FCB6D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7FCB6DEA"/>
    <w:multiLevelType w:val="hybridMultilevel"/>
    <w:tmpl w:val="7FCB6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FCB6DEB"/>
    <w:multiLevelType w:val="hybridMultilevel"/>
    <w:tmpl w:val="7FCB6D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7FCB6DEC"/>
    <w:multiLevelType w:val="hybridMultilevel"/>
    <w:tmpl w:val="7FCB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autoFormatOverride/>
  <w:defaultTabStop w:val="720"/>
  <w:drawingGridHorizontalSpacing w:val="9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hAnsi="Arial" w:eastAsiaTheme="majorEastAsia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hAnsi="Arial" w:eastAsiaTheme="majorEastAsia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hAnsi="Arial" w:eastAsiaTheme="majorEastAsia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hAnsi="Arial" w:eastAsiaTheme="majorEastAsia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hAnsi="Arial" w:eastAsiaTheme="majorEastAsia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header" Target="header3.xml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2.xml" /><Relationship Id="rId17" Type="http://schemas.openxmlformats.org/officeDocument/2006/relationships/header" Target="header6.xml" /><Relationship Id="rId18" Type="http://schemas.openxmlformats.org/officeDocument/2006/relationships/header" Target="head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header" Target="head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4.xml" /><Relationship Id="rId25" Type="http://schemas.openxmlformats.org/officeDocument/2006/relationships/header" Target="header12.xml" /><Relationship Id="rId26" Type="http://schemas.openxmlformats.org/officeDocument/2006/relationships/header" Target="header13.xml" /><Relationship Id="rId27" Type="http://schemas.openxmlformats.org/officeDocument/2006/relationships/header" Target="header14.xml" /><Relationship Id="rId28" Type="http://schemas.openxmlformats.org/officeDocument/2006/relationships/footer" Target="footer5.xml" /><Relationship Id="rId29" Type="http://schemas.openxmlformats.org/officeDocument/2006/relationships/header" Target="header15.xml" /><Relationship Id="rId3" Type="http://schemas.openxmlformats.org/officeDocument/2006/relationships/fontTable" Target="fontTable.xml" /><Relationship Id="rId30" Type="http://schemas.openxmlformats.org/officeDocument/2006/relationships/header" Target="header16.xml" /><Relationship Id="rId31" Type="http://schemas.openxmlformats.org/officeDocument/2006/relationships/header" Target="header17.xml" /><Relationship Id="rId32" Type="http://schemas.openxmlformats.org/officeDocument/2006/relationships/footer" Target="footer6.xml" /><Relationship Id="rId33" Type="http://schemas.openxmlformats.org/officeDocument/2006/relationships/header" Target="header18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7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8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8216CCA-54A4-4E61-8ED1-8F589480FE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Matthew Crilly</cp:lastModifiedBy>
  <cp:revision>97</cp:revision>
  <dcterms:created xsi:type="dcterms:W3CDTF">2017-09-11T05:00:00Z</dcterms:created>
  <dcterms:modified xsi:type="dcterms:W3CDTF">2024-01-31T05:59:00Z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